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9249" w14:textId="172099DD" w:rsidR="004B7814" w:rsidRDefault="002E6BBB" w:rsidP="005E0159">
      <w:pPr>
        <w:pStyle w:val="Title"/>
        <w:tabs>
          <w:tab w:val="left" w:pos="-5400"/>
          <w:tab w:val="left" w:pos="-3330"/>
        </w:tabs>
        <w:rPr>
          <w:sz w:val="24"/>
        </w:rPr>
      </w:pPr>
      <w:r w:rsidRPr="002E6BBB">
        <w:rPr>
          <w:sz w:val="24"/>
          <w:lang w:val="id-ID"/>
        </w:rPr>
        <w:t xml:space="preserve">THE ROLE OF COMPANY PERFORMANCE MODERATING CAPITAL STRUCTURE AND COMPANY EXTERNAL FACTORS ON COMPANY VALUE IN THE CONSISTENCY OF THE ECONOMIC </w:t>
      </w:r>
      <w:proofErr w:type="spellStart"/>
      <w:r w:rsidRPr="002E6BBB">
        <w:rPr>
          <w:sz w:val="24"/>
          <w:lang w:val="id-ID"/>
        </w:rPr>
        <w:t>REcession</w:t>
      </w:r>
      <w:proofErr w:type="spellEnd"/>
      <w:r w:rsidRPr="002E6BBB">
        <w:rPr>
          <w:sz w:val="24"/>
          <w:lang w:val="id-ID"/>
        </w:rPr>
        <w:t xml:space="preserve"> in 2020</w:t>
      </w:r>
    </w:p>
    <w:p w14:paraId="494AC227" w14:textId="77777777" w:rsidR="00D73172" w:rsidRDefault="00D73172" w:rsidP="002E6BBB">
      <w:pPr>
        <w:rPr>
          <w:b/>
          <w:sz w:val="28"/>
        </w:rPr>
      </w:pPr>
    </w:p>
    <w:p w14:paraId="54071E85" w14:textId="1E384DAB" w:rsidR="00D73172" w:rsidRPr="002E6BBB" w:rsidRDefault="002E6BBB" w:rsidP="00D73172">
      <w:pPr>
        <w:jc w:val="center"/>
        <w:rPr>
          <w:b/>
          <w:sz w:val="20"/>
          <w:vertAlign w:val="superscript"/>
        </w:rPr>
      </w:pPr>
      <w:proofErr w:type="spellStart"/>
      <w:r>
        <w:rPr>
          <w:b/>
          <w:sz w:val="20"/>
        </w:rPr>
        <w:t>Puji</w:t>
      </w:r>
      <w:proofErr w:type="spellEnd"/>
      <w:r>
        <w:rPr>
          <w:b/>
          <w:sz w:val="20"/>
        </w:rPr>
        <w:t xml:space="preserve"> </w:t>
      </w:r>
      <w:proofErr w:type="spellStart"/>
      <w:r>
        <w:rPr>
          <w:b/>
          <w:sz w:val="20"/>
        </w:rPr>
        <w:t>Endah</w:t>
      </w:r>
      <w:proofErr w:type="spellEnd"/>
      <w:r>
        <w:rPr>
          <w:b/>
          <w:sz w:val="20"/>
        </w:rPr>
        <w:t xml:space="preserve"> Purnamasari</w:t>
      </w:r>
      <w:r>
        <w:rPr>
          <w:b/>
          <w:sz w:val="20"/>
          <w:vertAlign w:val="superscript"/>
        </w:rPr>
        <w:t>1</w:t>
      </w:r>
      <w:r>
        <w:rPr>
          <w:b/>
          <w:sz w:val="20"/>
        </w:rPr>
        <w:t xml:space="preserve">, </w:t>
      </w:r>
      <w:proofErr w:type="spellStart"/>
      <w:r>
        <w:rPr>
          <w:b/>
          <w:sz w:val="20"/>
        </w:rPr>
        <w:t>Farahiyah</w:t>
      </w:r>
      <w:proofErr w:type="spellEnd"/>
      <w:r>
        <w:rPr>
          <w:b/>
          <w:sz w:val="20"/>
        </w:rPr>
        <w:t xml:space="preserve"> Sartika</w:t>
      </w:r>
      <w:r>
        <w:rPr>
          <w:b/>
          <w:sz w:val="20"/>
          <w:vertAlign w:val="superscript"/>
        </w:rPr>
        <w:t>2</w:t>
      </w:r>
    </w:p>
    <w:p w14:paraId="2AFEFF94" w14:textId="64BA77C1" w:rsidR="002E6BBB" w:rsidRPr="00CB58E8" w:rsidRDefault="002E6BBB" w:rsidP="002E6BBB">
      <w:pPr>
        <w:jc w:val="center"/>
        <w:rPr>
          <w:rFonts w:ascii="Arial" w:hAnsi="Arial" w:cs="Arial"/>
          <w:vertAlign w:val="superscript"/>
          <w:lang w:val="id-ID"/>
        </w:rPr>
      </w:pPr>
      <w:r w:rsidRPr="00CB58E8">
        <w:rPr>
          <w:rFonts w:ascii="Arial" w:hAnsi="Arial" w:cs="Arial"/>
        </w:rPr>
        <w:t>Universitas Islam Negeri Maulana Malik Ibrahim</w:t>
      </w:r>
      <w:r w:rsidRPr="00CB58E8">
        <w:rPr>
          <w:rFonts w:ascii="Arial" w:hAnsi="Arial" w:cs="Arial"/>
          <w:vertAlign w:val="superscript"/>
        </w:rPr>
        <w:t>1</w:t>
      </w:r>
      <w:r>
        <w:rPr>
          <w:rFonts w:ascii="Arial" w:hAnsi="Arial" w:cs="Arial"/>
          <w:vertAlign w:val="superscript"/>
        </w:rPr>
        <w:t>,2</w:t>
      </w:r>
    </w:p>
    <w:p w14:paraId="20B04325" w14:textId="557468F9"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2E6BBB" w:rsidRPr="006921C5">
          <w:rPr>
            <w:rStyle w:val="Hyperlink"/>
            <w:rFonts w:ascii="Times New Roman" w:hAnsi="Times New Roman"/>
            <w:i/>
            <w:sz w:val="20"/>
          </w:rPr>
          <w:t>pujiendah@uin-malang.ac.id</w:t>
        </w:r>
      </w:hyperlink>
    </w:p>
    <w:p w14:paraId="250C9B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6FC61FB2" w14:textId="77777777" w:rsidR="00D73172" w:rsidRDefault="00D73172" w:rsidP="00D73172">
      <w:pPr>
        <w:rPr>
          <w:b/>
        </w:rPr>
      </w:pPr>
    </w:p>
    <w:p w14:paraId="6A8FB7E0" w14:textId="77777777" w:rsidR="001E1874" w:rsidRPr="002E6BBB" w:rsidRDefault="00D73172" w:rsidP="001E1874">
      <w:pPr>
        <w:autoSpaceDE w:val="0"/>
        <w:ind w:left="1418" w:right="14" w:hanging="1418"/>
        <w:jc w:val="both"/>
        <w:rPr>
          <w:szCs w:val="24"/>
        </w:rPr>
      </w:pPr>
      <w:r w:rsidRPr="00020CCF">
        <w:rPr>
          <w:b/>
          <w:szCs w:val="24"/>
        </w:rPr>
        <w:t>Abstract</w:t>
      </w:r>
      <w:r w:rsidR="00486F2C" w:rsidRPr="00020CCF">
        <w:rPr>
          <w:b/>
          <w:szCs w:val="24"/>
          <w:lang w:val="id-ID"/>
        </w:rPr>
        <w:t>:</w:t>
      </w:r>
      <w:r w:rsidR="001E1874">
        <w:rPr>
          <w:b/>
          <w:szCs w:val="24"/>
        </w:rPr>
        <w:t xml:space="preserve"> </w:t>
      </w:r>
      <w:r w:rsidR="001E1874">
        <w:rPr>
          <w:b/>
          <w:szCs w:val="24"/>
        </w:rPr>
        <w:tab/>
      </w:r>
      <w:r w:rsidR="001E1874" w:rsidRPr="002E6BBB">
        <w:rPr>
          <w:szCs w:val="24"/>
        </w:rPr>
        <w:t>An increase in inflation can cause a slowdown or decrease in a country's economic growth, this situation can be called a recession in a country. The decline in the exchange rate of the domestic currency with foreign currencies and the increase in gross domestic product for two quarters, caused many companies to experience losses due to decreased sales and losses experienced by these companies resulted in a decrease in the value of the company which was marked by a decrease in the company's stock price. This study aims to measure the effect of capital structure, inflation, exchange rate, gross domestic product on firm value with firm performance as a moderating variable. The results of this study indicate that capital structure and inflation do not have a significant impact on firm value while the exchange rate and gross domestic product have a significant positive impact on firm value. While the company's performance is not able to modernize the relationship between the independent variable and the dependent variable.</w:t>
      </w:r>
    </w:p>
    <w:p w14:paraId="1EBAD8A4" w14:textId="268E0383" w:rsidR="00D73172" w:rsidRPr="001E1874" w:rsidRDefault="00D73172" w:rsidP="00486F2C">
      <w:pPr>
        <w:spacing w:after="120"/>
        <w:rPr>
          <w:b/>
          <w:i/>
          <w:szCs w:val="24"/>
        </w:rPr>
      </w:pPr>
    </w:p>
    <w:p w14:paraId="24BC0438" w14:textId="0FAE75CC" w:rsidR="004B7814" w:rsidRPr="002E6BBB" w:rsidRDefault="00020CCF" w:rsidP="002E6BBB">
      <w:pPr>
        <w:autoSpaceDE w:val="0"/>
        <w:ind w:left="1440" w:right="14" w:hanging="1440"/>
        <w:jc w:val="both"/>
        <w:rPr>
          <w:i/>
          <w:iCs/>
          <w:sz w:val="22"/>
          <w:szCs w:val="22"/>
          <w:lang w:val="id-ID"/>
        </w:rPr>
      </w:pPr>
      <w:r w:rsidRPr="00020CCF">
        <w:rPr>
          <w:b/>
          <w:i/>
          <w:szCs w:val="24"/>
        </w:rPr>
        <w:t>Keywords:</w:t>
      </w:r>
      <w:r w:rsidRPr="00020CCF">
        <w:rPr>
          <w:b/>
          <w:i/>
          <w:szCs w:val="24"/>
          <w:lang w:val="id-ID"/>
        </w:rPr>
        <w:t xml:space="preserve"> </w:t>
      </w:r>
      <w:r w:rsidR="002E6BBB" w:rsidRPr="002E6BBB">
        <w:rPr>
          <w:i/>
          <w:iCs/>
          <w:szCs w:val="24"/>
        </w:rPr>
        <w:t>Capital Structure; Company External Factors; The value of the company; Company performance</w:t>
      </w:r>
    </w:p>
    <w:p w14:paraId="5BFAAC1D"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3AA9B139" w14:textId="77777777" w:rsidR="00486F2C" w:rsidRPr="00486F2C" w:rsidRDefault="00486F2C" w:rsidP="00486F2C">
      <w:pPr>
        <w:pStyle w:val="Heading1"/>
        <w:suppressAutoHyphens/>
        <w:spacing w:after="60"/>
        <w:ind w:left="360"/>
        <w:rPr>
          <w:i w:val="0"/>
          <w:sz w:val="22"/>
          <w:szCs w:val="22"/>
        </w:rPr>
      </w:pPr>
    </w:p>
    <w:p w14:paraId="1B00A5A3" w14:textId="77777777"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[Times New Roman 1</w:t>
      </w:r>
      <w:r w:rsidR="0095439E" w:rsidRPr="00020CCF">
        <w:rPr>
          <w:i w:val="0"/>
          <w:sz w:val="24"/>
          <w:szCs w:val="24"/>
          <w:lang w:val="id-ID"/>
        </w:rPr>
        <w:t>2</w:t>
      </w:r>
      <w:r w:rsidR="00D73172" w:rsidRPr="00020CCF">
        <w:rPr>
          <w:i w:val="0"/>
          <w:sz w:val="24"/>
          <w:szCs w:val="24"/>
        </w:rPr>
        <w:t xml:space="preserve"> bold]</w:t>
      </w:r>
    </w:p>
    <w:p w14:paraId="41E44319" w14:textId="6467FB7B" w:rsidR="00486F2C" w:rsidRDefault="002E6BBB" w:rsidP="00486F2C">
      <w:pPr>
        <w:spacing w:after="120"/>
        <w:ind w:firstLine="426"/>
        <w:jc w:val="both"/>
        <w:rPr>
          <w:szCs w:val="24"/>
        </w:rPr>
      </w:pPr>
      <w:r w:rsidRPr="002E6BBB">
        <w:rPr>
          <w:szCs w:val="24"/>
        </w:rPr>
        <w:t xml:space="preserve">The current corona virus outbreak is an example of changes that have occurred in Indonesia, this change not only occurs from the health aspect but also from the economic aspect which caused Indonesia to experience an economic recession for one year, namely in 2020. According to </w:t>
      </w:r>
      <w:proofErr w:type="spellStart"/>
      <w:r w:rsidRPr="002E6BBB">
        <w:rPr>
          <w:szCs w:val="24"/>
        </w:rPr>
        <w:t>Putsanra</w:t>
      </w:r>
      <w:proofErr w:type="spellEnd"/>
      <w:r w:rsidRPr="002E6BBB">
        <w:rPr>
          <w:szCs w:val="24"/>
        </w:rPr>
        <w:t xml:space="preserve"> (2020) the decline gross domestic product, rising unemployment, and declining retail transactions are signs of a slowing economic recession for two consecutive quarters</w:t>
      </w:r>
      <w:r>
        <w:rPr>
          <w:szCs w:val="24"/>
        </w:rPr>
        <w:t>.</w:t>
      </w:r>
    </w:p>
    <w:p w14:paraId="78C2C8E8" w14:textId="4900CF00" w:rsidR="002E6BBB" w:rsidRPr="008923B1" w:rsidRDefault="008923B1" w:rsidP="008923B1">
      <w:pPr>
        <w:spacing w:after="120"/>
        <w:ind w:firstLine="426"/>
        <w:jc w:val="center"/>
        <w:rPr>
          <w:b/>
          <w:bCs/>
          <w:szCs w:val="24"/>
        </w:rPr>
      </w:pPr>
      <w:r w:rsidRPr="008923B1">
        <w:rPr>
          <w:b/>
          <w:bCs/>
          <w:noProof/>
          <w:szCs w:val="24"/>
        </w:rPr>
        <w:drawing>
          <wp:anchor distT="0" distB="0" distL="114300" distR="114300" simplePos="0" relativeHeight="251658240" behindDoc="0" locked="0" layoutInCell="1" allowOverlap="1" wp14:anchorId="6A7BB4D0" wp14:editId="7B6997B2">
            <wp:simplePos x="0" y="0"/>
            <wp:positionH relativeFrom="column">
              <wp:posOffset>1372870</wp:posOffset>
            </wp:positionH>
            <wp:positionV relativeFrom="paragraph">
              <wp:posOffset>405130</wp:posOffset>
            </wp:positionV>
            <wp:extent cx="3519170" cy="1765300"/>
            <wp:effectExtent l="0" t="0" r="11430" b="1270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8923B1">
        <w:rPr>
          <w:b/>
          <w:bCs/>
          <w:szCs w:val="24"/>
        </w:rPr>
        <w:t>Figure 1. Indonesia's Economic Growth in 2020</w:t>
      </w:r>
    </w:p>
    <w:p w14:paraId="475296AB" w14:textId="0882D0A3" w:rsidR="002E6BBB" w:rsidRDefault="008923B1" w:rsidP="00486F2C">
      <w:pPr>
        <w:spacing w:after="120"/>
        <w:ind w:firstLine="426"/>
        <w:jc w:val="both"/>
        <w:rPr>
          <w:szCs w:val="24"/>
        </w:rPr>
      </w:pPr>
      <w:r w:rsidRPr="008923B1">
        <w:rPr>
          <w:szCs w:val="24"/>
        </w:rPr>
        <w:lastRenderedPageBreak/>
        <w:t>The economic recession that occurred in Indonesia reached -3.49% in the third quarter which decreased from the previous quarter while Indonesia's economic growth rate fell -5.32%. The decline in economic progress was caused by layoffs, which resulted in a decline in people's purchasing power, resulting in deflation and an increase in the number of unemployed. The government itself responded to the corona virus pandemic by enacting Law Number 2 of 2020 concerning the stability of national financial policies and the financial system in response to threats that endanger the national economy and financial system stability.</w:t>
      </w:r>
    </w:p>
    <w:p w14:paraId="12D6B199" w14:textId="320D2B31" w:rsidR="002E6BBB" w:rsidRDefault="008923B1" w:rsidP="00486F2C">
      <w:pPr>
        <w:spacing w:after="120"/>
        <w:ind w:firstLine="426"/>
        <w:jc w:val="both"/>
        <w:rPr>
          <w:szCs w:val="24"/>
        </w:rPr>
      </w:pPr>
      <w:r w:rsidRPr="008923B1">
        <w:rPr>
          <w:szCs w:val="24"/>
        </w:rPr>
        <w:t xml:space="preserve">The value of the company in this study is measured by the </w:t>
      </w:r>
      <w:proofErr w:type="spellStart"/>
      <w:r w:rsidRPr="008923B1">
        <w:rPr>
          <w:szCs w:val="24"/>
        </w:rPr>
        <w:t>Tobins'Q</w:t>
      </w:r>
      <w:proofErr w:type="spellEnd"/>
      <w:r w:rsidRPr="008923B1">
        <w:rPr>
          <w:szCs w:val="24"/>
        </w:rPr>
        <w:t xml:space="preserve"> indicator, this ratio describes the ratio of the stock market ratio to the book value of equity in a company. The range of the lowest values ​​in the </w:t>
      </w:r>
      <w:proofErr w:type="spellStart"/>
      <w:r w:rsidRPr="008923B1">
        <w:rPr>
          <w:szCs w:val="24"/>
        </w:rPr>
        <w:t>Tobins'q</w:t>
      </w:r>
      <w:proofErr w:type="spellEnd"/>
      <w:r w:rsidRPr="008923B1">
        <w:rPr>
          <w:szCs w:val="24"/>
        </w:rPr>
        <w:t xml:space="preserve"> ratio is 0 (zero) against other companies, so the cost of replacing assets is greater than the value of the company. The value of one from the </w:t>
      </w:r>
      <w:proofErr w:type="spellStart"/>
      <w:r w:rsidRPr="008923B1">
        <w:rPr>
          <w:szCs w:val="24"/>
        </w:rPr>
        <w:t>Tobins'Q</w:t>
      </w:r>
      <w:proofErr w:type="spellEnd"/>
      <w:r w:rsidRPr="008923B1">
        <w:rPr>
          <w:szCs w:val="24"/>
        </w:rPr>
        <w:t xml:space="preserve"> results will affect the confidence of investors and the market towards the company's prospects and such a situation is an obstacle for the company.</w:t>
      </w:r>
    </w:p>
    <w:p w14:paraId="3E3ECCE5" w14:textId="3678598C" w:rsidR="008923B1" w:rsidRDefault="008923B1" w:rsidP="00486F2C">
      <w:pPr>
        <w:spacing w:after="120"/>
        <w:ind w:firstLine="426"/>
        <w:jc w:val="both"/>
        <w:rPr>
          <w:szCs w:val="24"/>
        </w:rPr>
      </w:pPr>
      <w:r w:rsidRPr="008923B1">
        <w:rPr>
          <w:szCs w:val="24"/>
        </w:rPr>
        <w:t xml:space="preserve">Zulfikar (2016) states that stock prices can be influenced by factors within the company itself and factors that are able to influence outside the company. External factors are inflation, Gross Domestic Product and foreign exchange rates. While the factors that can influence the activities within the company itself are in the form of capital structure, dividend policy and investment decisions. The capital structure can be calculated using the </w:t>
      </w:r>
      <w:proofErr w:type="gramStart"/>
      <w:r w:rsidRPr="008923B1">
        <w:rPr>
          <w:szCs w:val="24"/>
        </w:rPr>
        <w:t>long term</w:t>
      </w:r>
      <w:proofErr w:type="gramEnd"/>
      <w:r w:rsidRPr="008923B1">
        <w:rPr>
          <w:szCs w:val="24"/>
        </w:rPr>
        <w:t xml:space="preserve"> debt equity ratio (LDER), where the higher the LDER value indicates that the company uses more debt to finance the company's activities and has a high risk of bankruptcy. Based on </w:t>
      </w:r>
      <w:proofErr w:type="spellStart"/>
      <w:r w:rsidRPr="008923B1">
        <w:rPr>
          <w:szCs w:val="24"/>
        </w:rPr>
        <w:t>Utami's</w:t>
      </w:r>
      <w:proofErr w:type="spellEnd"/>
      <w:r w:rsidRPr="008923B1">
        <w:rPr>
          <w:szCs w:val="24"/>
        </w:rPr>
        <w:t xml:space="preserve"> research (2017), it shows that capital structure has a significant positive effect on firm value. (D. M. Sari, </w:t>
      </w:r>
      <w:proofErr w:type="spellStart"/>
      <w:r w:rsidRPr="008923B1">
        <w:rPr>
          <w:szCs w:val="24"/>
        </w:rPr>
        <w:t>Gustini</w:t>
      </w:r>
      <w:proofErr w:type="spellEnd"/>
      <w:r w:rsidRPr="008923B1">
        <w:rPr>
          <w:szCs w:val="24"/>
        </w:rPr>
        <w:t xml:space="preserve">, &amp; </w:t>
      </w:r>
      <w:proofErr w:type="spellStart"/>
      <w:r w:rsidRPr="008923B1">
        <w:rPr>
          <w:szCs w:val="24"/>
        </w:rPr>
        <w:t>Tripermata</w:t>
      </w:r>
      <w:proofErr w:type="spellEnd"/>
      <w:r w:rsidRPr="008923B1">
        <w:rPr>
          <w:szCs w:val="24"/>
        </w:rPr>
        <w:t>, 2016) capital structure has no effect on firm value.</w:t>
      </w:r>
    </w:p>
    <w:p w14:paraId="42100EE0" w14:textId="5556DAFD" w:rsidR="008923B1" w:rsidRDefault="008923B1" w:rsidP="00486F2C">
      <w:pPr>
        <w:spacing w:after="120"/>
        <w:ind w:firstLine="426"/>
        <w:jc w:val="both"/>
        <w:rPr>
          <w:szCs w:val="24"/>
        </w:rPr>
      </w:pPr>
      <w:r w:rsidRPr="008923B1">
        <w:rPr>
          <w:szCs w:val="24"/>
        </w:rPr>
        <w:t xml:space="preserve">Continuous price increases can lead to inflation. Inflation that increases in prices can cause a decrease in company sales, which has an impact on decreasing company profits. The decline in company profits can affect investors in making investment decisions, resulting in a lack of desire for company shares which has an impact on decreasing share prices. Yusuf (2020) conducted a study with the result that inflation has no effect on firm value. Meanwhile, the results of research by </w:t>
      </w:r>
      <w:proofErr w:type="spellStart"/>
      <w:r w:rsidRPr="008923B1">
        <w:rPr>
          <w:szCs w:val="24"/>
        </w:rPr>
        <w:t>Handriani</w:t>
      </w:r>
      <w:proofErr w:type="spellEnd"/>
      <w:r w:rsidRPr="008923B1">
        <w:rPr>
          <w:szCs w:val="24"/>
        </w:rPr>
        <w:t xml:space="preserve"> &amp; </w:t>
      </w:r>
      <w:proofErr w:type="spellStart"/>
      <w:r w:rsidRPr="008923B1">
        <w:rPr>
          <w:szCs w:val="24"/>
        </w:rPr>
        <w:t>Irianti</w:t>
      </w:r>
      <w:proofErr w:type="spellEnd"/>
      <w:r w:rsidRPr="008923B1">
        <w:rPr>
          <w:szCs w:val="24"/>
        </w:rPr>
        <w:t xml:space="preserve"> (2006) stated that there was a positive relationship between inflation and firm value.</w:t>
      </w:r>
    </w:p>
    <w:p w14:paraId="001BED5D" w14:textId="3ED7759E" w:rsidR="008923B1" w:rsidRDefault="008923B1" w:rsidP="00486F2C">
      <w:pPr>
        <w:spacing w:after="120"/>
        <w:ind w:firstLine="426"/>
        <w:jc w:val="both"/>
        <w:rPr>
          <w:szCs w:val="24"/>
        </w:rPr>
      </w:pPr>
      <w:r w:rsidRPr="008923B1">
        <w:rPr>
          <w:szCs w:val="24"/>
        </w:rPr>
        <w:t xml:space="preserve">The buying and selling activity between the two countries using foreign currencies is a currency price or also called a foreign currency exchange rate or exchange rate, where the value of the foreign currency exchange is determined by the supply and demand of the two countries. </w:t>
      </w:r>
      <w:proofErr w:type="spellStart"/>
      <w:r w:rsidRPr="008923B1">
        <w:rPr>
          <w:szCs w:val="24"/>
        </w:rPr>
        <w:t>Sugiarto</w:t>
      </w:r>
      <w:proofErr w:type="spellEnd"/>
      <w:r w:rsidRPr="008923B1">
        <w:rPr>
          <w:szCs w:val="24"/>
        </w:rPr>
        <w:t xml:space="preserve"> &amp; </w:t>
      </w:r>
      <w:proofErr w:type="spellStart"/>
      <w:r w:rsidRPr="008923B1">
        <w:rPr>
          <w:szCs w:val="24"/>
        </w:rPr>
        <w:t>Santosa</w:t>
      </w:r>
      <w:proofErr w:type="spellEnd"/>
      <w:r w:rsidRPr="008923B1">
        <w:rPr>
          <w:szCs w:val="24"/>
        </w:rPr>
        <w:t xml:space="preserve"> (2018) state that the exchange rate or the difference in supply and demand for foreign currency has no effect on firm value. Meanwhile, research from </w:t>
      </w:r>
      <w:proofErr w:type="spellStart"/>
      <w:r w:rsidRPr="008923B1">
        <w:rPr>
          <w:szCs w:val="24"/>
        </w:rPr>
        <w:t>Pasaribu</w:t>
      </w:r>
      <w:proofErr w:type="spellEnd"/>
      <w:r w:rsidRPr="008923B1">
        <w:rPr>
          <w:szCs w:val="24"/>
        </w:rPr>
        <w:t xml:space="preserve">, </w:t>
      </w:r>
      <w:proofErr w:type="spellStart"/>
      <w:r w:rsidRPr="008923B1">
        <w:rPr>
          <w:szCs w:val="24"/>
        </w:rPr>
        <w:t>Nuyantono</w:t>
      </w:r>
      <w:proofErr w:type="spellEnd"/>
      <w:r w:rsidRPr="008923B1">
        <w:rPr>
          <w:szCs w:val="24"/>
        </w:rPr>
        <w:t xml:space="preserve"> &amp; </w:t>
      </w:r>
      <w:proofErr w:type="spellStart"/>
      <w:r w:rsidRPr="008923B1">
        <w:rPr>
          <w:szCs w:val="24"/>
        </w:rPr>
        <w:t>Andati</w:t>
      </w:r>
      <w:proofErr w:type="spellEnd"/>
      <w:r w:rsidRPr="008923B1">
        <w:rPr>
          <w:szCs w:val="24"/>
        </w:rPr>
        <w:t xml:space="preserve"> (2019) states that the exchange rate has a positive impact on firm value.</w:t>
      </w:r>
    </w:p>
    <w:p w14:paraId="72EB6DA5" w14:textId="501E7F73" w:rsidR="002E6BBB" w:rsidRPr="008923B1" w:rsidRDefault="008923B1" w:rsidP="008923B1">
      <w:pPr>
        <w:spacing w:after="120"/>
        <w:ind w:firstLine="426"/>
        <w:jc w:val="both"/>
        <w:rPr>
          <w:szCs w:val="24"/>
        </w:rPr>
      </w:pPr>
      <w:r w:rsidRPr="008923B1">
        <w:rPr>
          <w:szCs w:val="24"/>
        </w:rPr>
        <w:t xml:space="preserve">Gross Domestic Product (GDP) is a measure of the achievement of more developed development of a country. The better the development </w:t>
      </w:r>
      <w:proofErr w:type="spellStart"/>
      <w:r w:rsidRPr="008923B1">
        <w:rPr>
          <w:szCs w:val="24"/>
        </w:rPr>
        <w:t>development</w:t>
      </w:r>
      <w:proofErr w:type="spellEnd"/>
      <w:r w:rsidRPr="008923B1">
        <w:rPr>
          <w:szCs w:val="24"/>
        </w:rPr>
        <w:t xml:space="preserve"> of a country, the better the GDP level of a country. An increase in the GDP per capita of a country will also be followed by an increase in the income of the population in a country or in other words the more prosperous the population of a country will be followed by an increase in the GDP per capita of a country. </w:t>
      </w:r>
      <w:proofErr w:type="spellStart"/>
      <w:r w:rsidRPr="008923B1">
        <w:rPr>
          <w:szCs w:val="24"/>
        </w:rPr>
        <w:t>Beriwisnu</w:t>
      </w:r>
      <w:proofErr w:type="spellEnd"/>
      <w:r w:rsidRPr="008923B1">
        <w:rPr>
          <w:szCs w:val="24"/>
        </w:rPr>
        <w:t xml:space="preserve"> (2017) argues that GDP has no effect on firm value. While GDP has a positive effect on firm value. Based on the explanation above, it can be concluded that the research title: "ROLE </w:t>
      </w:r>
      <w:r w:rsidR="001E1874" w:rsidRPr="008923B1">
        <w:rPr>
          <w:szCs w:val="24"/>
        </w:rPr>
        <w:lastRenderedPageBreak/>
        <w:t xml:space="preserve">Of Company Performance Moderating Capital Structure, Inflation, Exchange Rate </w:t>
      </w:r>
      <w:proofErr w:type="gramStart"/>
      <w:r w:rsidR="001E1874" w:rsidRPr="008923B1">
        <w:rPr>
          <w:szCs w:val="24"/>
        </w:rPr>
        <w:t>And</w:t>
      </w:r>
      <w:proofErr w:type="gramEnd"/>
      <w:r w:rsidR="001E1874" w:rsidRPr="008923B1">
        <w:rPr>
          <w:szCs w:val="24"/>
        </w:rPr>
        <w:t xml:space="preserve"> Gross Production On Company Value In Economic Recession (Study Of Manufacturing Companies Listed In The 2020 Stock Exchange)".</w:t>
      </w:r>
    </w:p>
    <w:p w14:paraId="6CEEE953" w14:textId="77777777" w:rsidR="006459CF" w:rsidRPr="00020CCF" w:rsidRDefault="008A398D" w:rsidP="004B7814">
      <w:pPr>
        <w:pStyle w:val="Heading1"/>
        <w:numPr>
          <w:ilvl w:val="0"/>
          <w:numId w:val="6"/>
        </w:numPr>
        <w:suppressAutoHyphens/>
        <w:spacing w:after="60"/>
        <w:ind w:left="360"/>
        <w:rPr>
          <w:i w:val="0"/>
          <w:sz w:val="24"/>
          <w:szCs w:val="24"/>
        </w:rPr>
      </w:pPr>
      <w:proofErr w:type="spellStart"/>
      <w:r w:rsidRPr="00020CCF">
        <w:rPr>
          <w:i w:val="0"/>
          <w:sz w:val="24"/>
          <w:szCs w:val="24"/>
          <w:lang w:val="id-ID"/>
        </w:rPr>
        <w:t>Research</w:t>
      </w:r>
      <w:proofErr w:type="spellEnd"/>
      <w:r w:rsidRPr="00020CCF">
        <w:rPr>
          <w:i w:val="0"/>
          <w:sz w:val="24"/>
          <w:szCs w:val="24"/>
          <w:lang w:val="id-ID"/>
        </w:rPr>
        <w:t xml:space="preserve"> </w:t>
      </w:r>
      <w:proofErr w:type="spellStart"/>
      <w:r w:rsidRPr="00020CCF">
        <w:rPr>
          <w:i w:val="0"/>
          <w:sz w:val="24"/>
          <w:szCs w:val="24"/>
          <w:lang w:val="id-ID"/>
        </w:rPr>
        <w:t>Method</w:t>
      </w:r>
      <w:proofErr w:type="spellEnd"/>
    </w:p>
    <w:p w14:paraId="1B67F60F" w14:textId="55BA831D" w:rsidR="008923B1" w:rsidRDefault="008923B1" w:rsidP="00486F2C">
      <w:pPr>
        <w:spacing w:after="240"/>
        <w:jc w:val="both"/>
        <w:rPr>
          <w:szCs w:val="24"/>
        </w:rPr>
      </w:pPr>
      <w:r w:rsidRPr="008923B1">
        <w:rPr>
          <w:szCs w:val="24"/>
        </w:rPr>
        <w:t>This research has a quantitative nature with a descriptive approach with the inner model and outer model methods. The data source used is secondary data obtained from the annual report of manufacturing companies for the year 2020. The company report is obtained through the website www.idx.co.id while inflation and gross domestic product are obtained through the website www.bps.go.id and the exchange rate is obtained through the website www.bi.go.id. The research sample was 92 samples using purposive sampling method.</w:t>
      </w:r>
    </w:p>
    <w:p w14:paraId="329CB7A0" w14:textId="77777777" w:rsidR="005F6A16" w:rsidRPr="005F6A16" w:rsidRDefault="005F6A16" w:rsidP="005F6A16">
      <w:pPr>
        <w:spacing w:after="240"/>
        <w:jc w:val="both"/>
        <w:rPr>
          <w:szCs w:val="24"/>
        </w:rPr>
      </w:pPr>
      <w:r w:rsidRPr="005F6A16">
        <w:rPr>
          <w:szCs w:val="24"/>
        </w:rPr>
        <w:t>Capital Structure</w:t>
      </w:r>
    </w:p>
    <w:p w14:paraId="779FFC11" w14:textId="355A98C6" w:rsidR="008923B1" w:rsidRDefault="005F6A16" w:rsidP="005F6A16">
      <w:pPr>
        <w:spacing w:after="240"/>
        <w:jc w:val="both"/>
        <w:rPr>
          <w:szCs w:val="24"/>
        </w:rPr>
      </w:pPr>
      <w:r w:rsidRPr="005F6A16">
        <w:rPr>
          <w:szCs w:val="24"/>
        </w:rPr>
        <w:t>Capital structure is a comparison between long-term debt and equity (</w:t>
      </w:r>
      <w:proofErr w:type="spellStart"/>
      <w:r w:rsidRPr="005F6A16">
        <w:rPr>
          <w:szCs w:val="24"/>
        </w:rPr>
        <w:t>Mardiyanto</w:t>
      </w:r>
      <w:proofErr w:type="spellEnd"/>
      <w:r w:rsidRPr="005F6A16">
        <w:rPr>
          <w:szCs w:val="24"/>
        </w:rPr>
        <w:t>, 2008). Companies often use long-term debt in the form of property and investment, this is done to increase the company's assets and strengthen the capital position in a company. Capital structure can be searched with the following formula:</w:t>
      </w:r>
    </w:p>
    <w:tbl>
      <w:tblPr>
        <w:tblStyle w:val="TableGrid"/>
        <w:tblW w:w="0" w:type="auto"/>
        <w:tblInd w:w="2358" w:type="dxa"/>
        <w:tblLook w:val="04A0" w:firstRow="1" w:lastRow="0" w:firstColumn="1" w:lastColumn="0" w:noHBand="0" w:noVBand="1"/>
      </w:tblPr>
      <w:tblGrid>
        <w:gridCol w:w="5130"/>
      </w:tblGrid>
      <w:tr w:rsidR="005F6A16" w:rsidRPr="0022768C" w14:paraId="5B747CD7" w14:textId="77777777" w:rsidTr="00A12505">
        <w:tc>
          <w:tcPr>
            <w:tcW w:w="5130" w:type="dxa"/>
          </w:tcPr>
          <w:p w14:paraId="6FB3B004" w14:textId="77777777" w:rsidR="005F6A16" w:rsidRPr="0022768C" w:rsidRDefault="005F6A16" w:rsidP="00A12505">
            <w:pPr>
              <w:jc w:val="both"/>
              <w:rPr>
                <w:rFonts w:asciiTheme="majorBidi" w:eastAsiaTheme="minorEastAsia" w:hAnsiTheme="majorBidi" w:cstheme="majorBidi"/>
                <w:sz w:val="24"/>
                <w:szCs w:val="24"/>
              </w:rPr>
            </w:pPr>
            <w:r w:rsidRPr="0022768C">
              <w:rPr>
                <w:rFonts w:asciiTheme="majorBidi" w:eastAsiaTheme="minorEastAsia" w:hAnsiTheme="majorBidi" w:cstheme="majorBidi"/>
                <w:sz w:val="24"/>
                <w:szCs w:val="24"/>
              </w:rPr>
              <w:t xml:space="preserve">LDER= Long Term Debt to Equity/Total </w:t>
            </w:r>
            <w:proofErr w:type="spellStart"/>
            <w:r w:rsidRPr="0022768C">
              <w:rPr>
                <w:rFonts w:asciiTheme="majorBidi" w:eastAsiaTheme="minorEastAsia" w:hAnsiTheme="majorBidi" w:cstheme="majorBidi"/>
                <w:sz w:val="24"/>
                <w:szCs w:val="24"/>
              </w:rPr>
              <w:t>Ekuitas</w:t>
            </w:r>
            <w:proofErr w:type="spellEnd"/>
          </w:p>
        </w:tc>
      </w:tr>
    </w:tbl>
    <w:p w14:paraId="6E8E3D58" w14:textId="77777777" w:rsidR="005F6A16" w:rsidRPr="005F6A16" w:rsidRDefault="005F6A16" w:rsidP="005F6A16">
      <w:pPr>
        <w:spacing w:after="240"/>
        <w:jc w:val="both"/>
        <w:rPr>
          <w:szCs w:val="24"/>
        </w:rPr>
      </w:pPr>
      <w:r w:rsidRPr="005F6A16">
        <w:rPr>
          <w:szCs w:val="24"/>
        </w:rPr>
        <w:t>Inflation</w:t>
      </w:r>
    </w:p>
    <w:p w14:paraId="6FA3AB2F" w14:textId="281219E4" w:rsidR="005F6A16" w:rsidRDefault="005F6A16" w:rsidP="005F6A16">
      <w:pPr>
        <w:spacing w:after="240"/>
        <w:jc w:val="both"/>
        <w:rPr>
          <w:szCs w:val="24"/>
        </w:rPr>
      </w:pPr>
      <w:r w:rsidRPr="005F6A16">
        <w:rPr>
          <w:szCs w:val="24"/>
        </w:rPr>
        <w:t>Inflation can be interpreted as a continuous increase in the level of prices for both goods and services (</w:t>
      </w:r>
      <w:proofErr w:type="spellStart"/>
      <w:r w:rsidRPr="005F6A16">
        <w:rPr>
          <w:szCs w:val="24"/>
        </w:rPr>
        <w:t>Natsir</w:t>
      </w:r>
      <w:proofErr w:type="spellEnd"/>
      <w:r w:rsidRPr="005F6A16">
        <w:rPr>
          <w:szCs w:val="24"/>
        </w:rPr>
        <w:t>, 2014). Inflation occurs because a group of people have an excessive desire, where they want to use more goods and services available in the market, because excessive desire has an impact on increasing demand but not followed by an increase in supply, which in turn has an impact on rising prices. Inflation can be calculated by the formula below:</w:t>
      </w:r>
    </w:p>
    <w:tbl>
      <w:tblPr>
        <w:tblW w:w="0" w:type="auto"/>
        <w:tblInd w:w="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tblGrid>
      <w:tr w:rsidR="005F6A16" w:rsidRPr="0022768C" w14:paraId="1D4474CD" w14:textId="77777777" w:rsidTr="00A12505">
        <w:trPr>
          <w:trHeight w:val="462"/>
        </w:trPr>
        <w:tc>
          <w:tcPr>
            <w:tcW w:w="3538" w:type="dxa"/>
          </w:tcPr>
          <w:p w14:paraId="46D2BA5E" w14:textId="77777777" w:rsidR="005F6A16" w:rsidRPr="0022768C" w:rsidRDefault="005F6A16" w:rsidP="00A12505">
            <w:pPr>
              <w:jc w:val="both"/>
              <w:rPr>
                <w:rFonts w:asciiTheme="majorBidi" w:eastAsiaTheme="minorEastAsia" w:hAnsiTheme="majorBidi" w:cstheme="majorBidi"/>
                <w:szCs w:val="24"/>
              </w:rPr>
            </w:pPr>
            <w:r w:rsidRPr="0022768C">
              <w:rPr>
                <w:rFonts w:asciiTheme="majorBidi" w:eastAsiaTheme="minorEastAsia" w:hAnsiTheme="majorBidi" w:cstheme="majorBidi"/>
                <w:szCs w:val="24"/>
              </w:rPr>
              <w:t>π=(IHKt-IHKt-1)/(IHKt-1) X 100</w:t>
            </w:r>
          </w:p>
        </w:tc>
      </w:tr>
    </w:tbl>
    <w:p w14:paraId="6CCE1BC1" w14:textId="77777777" w:rsidR="005F6A16" w:rsidRPr="005F6A16" w:rsidRDefault="005F6A16" w:rsidP="005F6A16">
      <w:pPr>
        <w:spacing w:after="240"/>
        <w:jc w:val="both"/>
        <w:rPr>
          <w:szCs w:val="24"/>
        </w:rPr>
      </w:pPr>
      <w:r w:rsidRPr="005F6A16">
        <w:rPr>
          <w:szCs w:val="24"/>
        </w:rPr>
        <w:t>Exchange rate</w:t>
      </w:r>
    </w:p>
    <w:p w14:paraId="59780F40" w14:textId="6C214692" w:rsidR="005F6A16" w:rsidRDefault="005F6A16" w:rsidP="005F6A16">
      <w:pPr>
        <w:spacing w:after="240"/>
        <w:jc w:val="both"/>
        <w:rPr>
          <w:szCs w:val="24"/>
        </w:rPr>
      </w:pPr>
      <w:r w:rsidRPr="005F6A16">
        <w:rPr>
          <w:szCs w:val="24"/>
        </w:rPr>
        <w:t>The exchange rate can be interpreted as the exchange of currency prices into other currencies which are represented by the circulating currency exchange rates and can also be used in transactions that cross geographical boundaries. The exchange rate is calculated by the formula below:</w:t>
      </w:r>
    </w:p>
    <w:tbl>
      <w:tblPr>
        <w:tblW w:w="0" w:type="auto"/>
        <w:tblInd w:w="3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tblGrid>
      <w:tr w:rsidR="005F6A16" w:rsidRPr="0022768C" w14:paraId="14152021" w14:textId="77777777" w:rsidTr="00A12505">
        <w:trPr>
          <w:trHeight w:val="440"/>
        </w:trPr>
        <w:tc>
          <w:tcPr>
            <w:tcW w:w="2963" w:type="dxa"/>
          </w:tcPr>
          <w:p w14:paraId="4BBFB1CF" w14:textId="77777777" w:rsidR="005F6A16" w:rsidRPr="0022768C" w:rsidRDefault="005F6A16" w:rsidP="00A12505">
            <w:pPr>
              <w:jc w:val="both"/>
              <w:rPr>
                <w:rFonts w:asciiTheme="majorBidi" w:hAnsiTheme="majorBidi" w:cstheme="majorBidi"/>
                <w:szCs w:val="24"/>
              </w:rPr>
            </w:pPr>
            <w:proofErr w:type="spellStart"/>
            <w:r w:rsidRPr="0022768C">
              <w:rPr>
                <w:rFonts w:asciiTheme="majorBidi" w:hAnsiTheme="majorBidi" w:cstheme="majorBidi"/>
                <w:szCs w:val="24"/>
              </w:rPr>
              <w:t>Kurs</w:t>
            </w:r>
            <w:proofErr w:type="spellEnd"/>
            <w:r w:rsidRPr="0022768C">
              <w:rPr>
                <w:rFonts w:asciiTheme="majorBidi" w:hAnsiTheme="majorBidi" w:cstheme="majorBidi"/>
                <w:szCs w:val="24"/>
              </w:rPr>
              <w:t xml:space="preserve"> Tengah=(KB+KJ)/2</w:t>
            </w:r>
          </w:p>
        </w:tc>
      </w:tr>
    </w:tbl>
    <w:p w14:paraId="4BD8A503" w14:textId="77777777" w:rsidR="005F6A16" w:rsidRPr="005F6A16" w:rsidRDefault="005F6A16" w:rsidP="005F6A16">
      <w:pPr>
        <w:spacing w:after="240"/>
        <w:jc w:val="both"/>
        <w:rPr>
          <w:szCs w:val="24"/>
        </w:rPr>
      </w:pPr>
      <w:r w:rsidRPr="005F6A16">
        <w:rPr>
          <w:szCs w:val="24"/>
        </w:rPr>
        <w:t>Gross domestic product</w:t>
      </w:r>
    </w:p>
    <w:p w14:paraId="539D456D" w14:textId="09159846" w:rsidR="005F6A16" w:rsidRDefault="005F6A16" w:rsidP="005F6A16">
      <w:pPr>
        <w:spacing w:after="240"/>
        <w:jc w:val="both"/>
        <w:rPr>
          <w:szCs w:val="24"/>
        </w:rPr>
      </w:pPr>
      <w:r w:rsidRPr="005F6A16">
        <w:rPr>
          <w:szCs w:val="24"/>
        </w:rPr>
        <w:t>One indicator that explains whether a country can achieve better development is to look at the gross domestic product in a country. A country will be said to be in good condition if the gross domestic product increases significantly every year. GDP can be measured by the formula below:</w:t>
      </w:r>
    </w:p>
    <w:tbl>
      <w:tblPr>
        <w:tblW w:w="0" w:type="auto"/>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tblGrid>
      <w:tr w:rsidR="005F6A16" w:rsidRPr="0022768C" w14:paraId="74E2D984" w14:textId="77777777" w:rsidTr="00A12505">
        <w:trPr>
          <w:trHeight w:val="448"/>
        </w:trPr>
        <w:tc>
          <w:tcPr>
            <w:tcW w:w="2309" w:type="dxa"/>
          </w:tcPr>
          <w:p w14:paraId="40541628" w14:textId="77777777" w:rsidR="005F6A16" w:rsidRPr="0022768C" w:rsidRDefault="005F6A16" w:rsidP="00A12505">
            <w:pPr>
              <w:ind w:left="21"/>
              <w:jc w:val="both"/>
              <w:rPr>
                <w:rFonts w:asciiTheme="majorBidi" w:hAnsiTheme="majorBidi" w:cstheme="majorBidi"/>
                <w:szCs w:val="24"/>
              </w:rPr>
            </w:pPr>
            <w:r w:rsidRPr="0022768C">
              <w:rPr>
                <w:rFonts w:asciiTheme="majorBidi" w:hAnsiTheme="majorBidi" w:cstheme="majorBidi"/>
                <w:szCs w:val="24"/>
              </w:rPr>
              <w:lastRenderedPageBreak/>
              <w:t>PP = C+I+G+(X-M)</w:t>
            </w:r>
          </w:p>
        </w:tc>
      </w:tr>
    </w:tbl>
    <w:p w14:paraId="62184BF7" w14:textId="77777777" w:rsidR="005F6A16" w:rsidRPr="005F6A16" w:rsidRDefault="005F6A16" w:rsidP="005F6A16">
      <w:pPr>
        <w:spacing w:after="240"/>
        <w:jc w:val="both"/>
        <w:rPr>
          <w:szCs w:val="24"/>
        </w:rPr>
      </w:pPr>
      <w:r w:rsidRPr="005F6A16">
        <w:rPr>
          <w:szCs w:val="24"/>
        </w:rPr>
        <w:t>Financial performance</w:t>
      </w:r>
    </w:p>
    <w:p w14:paraId="1C7F77E5" w14:textId="10E2B6E0" w:rsidR="005F6A16" w:rsidRDefault="005F6A16" w:rsidP="005F6A16">
      <w:pPr>
        <w:spacing w:after="240"/>
        <w:jc w:val="both"/>
        <w:rPr>
          <w:szCs w:val="24"/>
        </w:rPr>
      </w:pPr>
      <w:r w:rsidRPr="005F6A16">
        <w:rPr>
          <w:szCs w:val="24"/>
        </w:rPr>
        <w:t>Financial performance in this study acts as a moderating variable which can be measured by the value of ROA in a company. Where this ROA value can be calculated as follows:</w:t>
      </w:r>
    </w:p>
    <w:tbl>
      <w:tblPr>
        <w:tblW w:w="0" w:type="auto"/>
        <w:tblInd w:w="2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tblGrid>
      <w:tr w:rsidR="005F6A16" w:rsidRPr="0022768C" w14:paraId="22679E58" w14:textId="77777777" w:rsidTr="00A12505">
        <w:trPr>
          <w:trHeight w:val="332"/>
        </w:trPr>
        <w:tc>
          <w:tcPr>
            <w:tcW w:w="3869" w:type="dxa"/>
          </w:tcPr>
          <w:p w14:paraId="38A4B95B" w14:textId="77777777" w:rsidR="005F6A16" w:rsidRPr="0022768C" w:rsidRDefault="005F6A16" w:rsidP="00A12505">
            <w:pPr>
              <w:jc w:val="both"/>
              <w:rPr>
                <w:rFonts w:asciiTheme="majorBidi" w:hAnsiTheme="majorBidi" w:cstheme="majorBidi"/>
                <w:szCs w:val="24"/>
              </w:rPr>
            </w:pPr>
            <w:r w:rsidRPr="0022768C">
              <w:rPr>
                <w:rFonts w:asciiTheme="majorBidi" w:hAnsiTheme="majorBidi" w:cstheme="majorBidi"/>
                <w:szCs w:val="24"/>
              </w:rPr>
              <w:t>ROA</w:t>
            </w:r>
            <w:proofErr w:type="gramStart"/>
            <w:r w:rsidRPr="0022768C">
              <w:rPr>
                <w:rFonts w:asciiTheme="majorBidi" w:hAnsiTheme="majorBidi" w:cstheme="majorBidi"/>
                <w:szCs w:val="24"/>
              </w:rPr>
              <w:t>=(</w:t>
            </w:r>
            <w:proofErr w:type="gramEnd"/>
            <w:r w:rsidRPr="0022768C">
              <w:rPr>
                <w:rFonts w:asciiTheme="majorBidi" w:hAnsiTheme="majorBidi" w:cstheme="majorBidi"/>
                <w:szCs w:val="24"/>
              </w:rPr>
              <w:t>Net income)/(Total Asset)</w:t>
            </w:r>
          </w:p>
        </w:tc>
      </w:tr>
    </w:tbl>
    <w:p w14:paraId="3BAC9E81" w14:textId="77777777" w:rsidR="005F6A16" w:rsidRPr="005F6A16" w:rsidRDefault="005F6A16" w:rsidP="005F6A16">
      <w:pPr>
        <w:spacing w:after="240"/>
        <w:jc w:val="both"/>
        <w:rPr>
          <w:szCs w:val="24"/>
        </w:rPr>
      </w:pPr>
      <w:r w:rsidRPr="005F6A16">
        <w:rPr>
          <w:szCs w:val="24"/>
        </w:rPr>
        <w:t>The value of the company</w:t>
      </w:r>
    </w:p>
    <w:p w14:paraId="648E64F2" w14:textId="11099585" w:rsidR="005F6A16" w:rsidRDefault="005F6A16" w:rsidP="005F6A16">
      <w:pPr>
        <w:spacing w:after="240"/>
        <w:jc w:val="both"/>
        <w:rPr>
          <w:szCs w:val="24"/>
        </w:rPr>
      </w:pPr>
      <w:r w:rsidRPr="005F6A16">
        <w:rPr>
          <w:szCs w:val="24"/>
        </w:rPr>
        <w:t>The value of the company is very important for a company, because with the increase in the value of the company, the share price also increases, which reflects the increase in shareholder sentiment. Company value indicators can be measured by the following indicators:</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0"/>
      </w:tblGrid>
      <w:tr w:rsidR="005F6A16" w:rsidRPr="0022768C" w14:paraId="4B6E964C" w14:textId="77777777" w:rsidTr="00A12505">
        <w:trPr>
          <w:trHeight w:val="395"/>
        </w:trPr>
        <w:tc>
          <w:tcPr>
            <w:tcW w:w="6440" w:type="dxa"/>
          </w:tcPr>
          <w:p w14:paraId="1883FC4F" w14:textId="77777777" w:rsidR="005F6A16" w:rsidRPr="0022768C" w:rsidRDefault="005F6A16" w:rsidP="00A12505">
            <w:pPr>
              <w:widowControl w:val="0"/>
              <w:autoSpaceDE w:val="0"/>
              <w:autoSpaceDN w:val="0"/>
              <w:ind w:left="22"/>
              <w:jc w:val="both"/>
              <w:rPr>
                <w:szCs w:val="24"/>
              </w:rPr>
            </w:pPr>
            <w:proofErr w:type="spellStart"/>
            <w:r w:rsidRPr="0022768C">
              <w:rPr>
                <w:szCs w:val="24"/>
              </w:rPr>
              <w:t>Tobins`q</w:t>
            </w:r>
            <w:proofErr w:type="spellEnd"/>
            <w:proofErr w:type="gramStart"/>
            <w:r w:rsidRPr="0022768C">
              <w:rPr>
                <w:szCs w:val="24"/>
              </w:rPr>
              <w:t>=(</w:t>
            </w:r>
            <w:proofErr w:type="gramEnd"/>
            <w:r w:rsidRPr="0022768C">
              <w:rPr>
                <w:szCs w:val="24"/>
              </w:rPr>
              <w:t xml:space="preserve">Nilai Pasar </w:t>
            </w:r>
            <w:proofErr w:type="spellStart"/>
            <w:r w:rsidRPr="0022768C">
              <w:rPr>
                <w:szCs w:val="24"/>
              </w:rPr>
              <w:t>Ekuitas+Total</w:t>
            </w:r>
            <w:proofErr w:type="spellEnd"/>
            <w:r w:rsidRPr="0022768C">
              <w:rPr>
                <w:szCs w:val="24"/>
              </w:rPr>
              <w:t xml:space="preserve"> </w:t>
            </w:r>
            <w:proofErr w:type="spellStart"/>
            <w:r w:rsidRPr="0022768C">
              <w:rPr>
                <w:szCs w:val="24"/>
              </w:rPr>
              <w:t>Hutang</w:t>
            </w:r>
            <w:proofErr w:type="spellEnd"/>
            <w:r w:rsidRPr="0022768C">
              <w:rPr>
                <w:szCs w:val="24"/>
              </w:rPr>
              <w:t xml:space="preserve"> )/(Total </w:t>
            </w:r>
            <w:proofErr w:type="spellStart"/>
            <w:r w:rsidRPr="0022768C">
              <w:rPr>
                <w:szCs w:val="24"/>
              </w:rPr>
              <w:t>Aktiva</w:t>
            </w:r>
            <w:proofErr w:type="spellEnd"/>
            <w:r w:rsidRPr="0022768C">
              <w:rPr>
                <w:szCs w:val="24"/>
              </w:rPr>
              <w:t>)</w:t>
            </w:r>
          </w:p>
          <w:p w14:paraId="1A731162" w14:textId="77777777" w:rsidR="005F6A16" w:rsidRPr="0022768C" w:rsidRDefault="005F6A16" w:rsidP="00A12505">
            <w:pPr>
              <w:widowControl w:val="0"/>
              <w:autoSpaceDE w:val="0"/>
              <w:autoSpaceDN w:val="0"/>
              <w:jc w:val="both"/>
              <w:rPr>
                <w:szCs w:val="24"/>
              </w:rPr>
            </w:pPr>
          </w:p>
        </w:tc>
      </w:tr>
    </w:tbl>
    <w:p w14:paraId="493E407E" w14:textId="77777777" w:rsidR="008923B1" w:rsidRPr="00020CCF" w:rsidRDefault="008923B1" w:rsidP="00486F2C">
      <w:pPr>
        <w:spacing w:after="240"/>
        <w:jc w:val="both"/>
        <w:rPr>
          <w:szCs w:val="24"/>
        </w:rPr>
      </w:pPr>
    </w:p>
    <w:p w14:paraId="796FC2F0" w14:textId="77777777" w:rsidR="00D73172" w:rsidRPr="00020CCF" w:rsidRDefault="008A398D" w:rsidP="004B7814">
      <w:pPr>
        <w:pStyle w:val="Heading1"/>
        <w:numPr>
          <w:ilvl w:val="0"/>
          <w:numId w:val="6"/>
        </w:numPr>
        <w:suppressAutoHyphens/>
        <w:spacing w:after="60"/>
        <w:ind w:left="360"/>
        <w:rPr>
          <w:i w:val="0"/>
          <w:sz w:val="24"/>
          <w:szCs w:val="24"/>
        </w:rPr>
      </w:pPr>
      <w:proofErr w:type="spellStart"/>
      <w:r w:rsidRPr="00020CCF">
        <w:rPr>
          <w:i w:val="0"/>
          <w:sz w:val="24"/>
          <w:szCs w:val="24"/>
          <w:lang w:val="id-ID"/>
        </w:rPr>
        <w:t>Results</w:t>
      </w:r>
      <w:proofErr w:type="spellEnd"/>
      <w:r w:rsidRPr="00020CCF">
        <w:rPr>
          <w:i w:val="0"/>
          <w:sz w:val="24"/>
          <w:szCs w:val="24"/>
          <w:lang w:val="id-ID"/>
        </w:rPr>
        <w:t xml:space="preserve"> </w:t>
      </w:r>
      <w:proofErr w:type="spellStart"/>
      <w:r w:rsidRPr="00020CCF">
        <w:rPr>
          <w:i w:val="0"/>
          <w:sz w:val="24"/>
          <w:szCs w:val="24"/>
          <w:lang w:val="id-ID"/>
        </w:rPr>
        <w:t>and</w:t>
      </w:r>
      <w:proofErr w:type="spellEnd"/>
      <w:r w:rsidRPr="00020CCF">
        <w:rPr>
          <w:i w:val="0"/>
          <w:sz w:val="24"/>
          <w:szCs w:val="24"/>
        </w:rPr>
        <w:t xml:space="preserve"> D</w:t>
      </w:r>
      <w:r w:rsidRPr="00020CCF">
        <w:rPr>
          <w:i w:val="0"/>
          <w:sz w:val="24"/>
          <w:szCs w:val="24"/>
          <w:lang w:val="id-ID"/>
        </w:rPr>
        <w:t>iscussion</w:t>
      </w:r>
    </w:p>
    <w:p w14:paraId="4F96791B" w14:textId="60EC1A94"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proofErr w:type="spellStart"/>
      <w:r w:rsidR="008A398D" w:rsidRPr="00020CCF">
        <w:rPr>
          <w:i w:val="0"/>
          <w:sz w:val="24"/>
          <w:szCs w:val="24"/>
          <w:lang w:val="id-ID"/>
        </w:rPr>
        <w:t>Results</w:t>
      </w:r>
      <w:proofErr w:type="spellEnd"/>
    </w:p>
    <w:p w14:paraId="5CC47ED9" w14:textId="357FD34D" w:rsidR="006E7EB3" w:rsidRPr="005D0CB5" w:rsidRDefault="006E7EB3" w:rsidP="006E7EB3">
      <w:r w:rsidRPr="005D0CB5">
        <w:t>3.1.1. Statistical Analysis Results</w:t>
      </w:r>
    </w:p>
    <w:p w14:paraId="1A2185DD" w14:textId="6B8ACDAF" w:rsidR="005F6A16" w:rsidRPr="005D0CB5" w:rsidRDefault="005D0CB5" w:rsidP="005D0CB5">
      <w:pPr>
        <w:ind w:left="3600" w:firstLine="720"/>
        <w:rPr>
          <w:rFonts w:eastAsia="Calibri"/>
          <w:sz w:val="20"/>
          <w:lang w:val="id-ID"/>
        </w:rPr>
      </w:pPr>
      <w:proofErr w:type="spellStart"/>
      <w:r w:rsidRPr="005D0CB5">
        <w:rPr>
          <w:rFonts w:eastAsia="Calibri"/>
          <w:sz w:val="20"/>
          <w:lang w:val="id-ID"/>
        </w:rPr>
        <w:t>Table</w:t>
      </w:r>
      <w:proofErr w:type="spellEnd"/>
      <w:r w:rsidRPr="005D0CB5">
        <w:rPr>
          <w:rFonts w:eastAsia="Calibri"/>
          <w:sz w:val="20"/>
          <w:lang w:val="id-ID"/>
        </w:rPr>
        <w:t xml:space="preserve"> 1. </w:t>
      </w:r>
      <w:proofErr w:type="spellStart"/>
      <w:r w:rsidRPr="005D0CB5">
        <w:rPr>
          <w:rFonts w:eastAsia="Calibri"/>
          <w:sz w:val="20"/>
          <w:lang w:val="id-ID"/>
        </w:rPr>
        <w:t>Descriptive</w:t>
      </w:r>
      <w:proofErr w:type="spellEnd"/>
      <w:r w:rsidRPr="005D0CB5">
        <w:rPr>
          <w:rFonts w:eastAsia="Calibri"/>
          <w:sz w:val="20"/>
          <w:lang w:val="id-ID"/>
        </w:rPr>
        <w:t xml:space="preserve"> </w:t>
      </w:r>
      <w:proofErr w:type="spellStart"/>
      <w:r w:rsidRPr="005D0CB5">
        <w:rPr>
          <w:rFonts w:eastAsia="Calibri"/>
          <w:sz w:val="20"/>
          <w:lang w:val="id-ID"/>
        </w:rPr>
        <w:t>Statistics</w:t>
      </w:r>
      <w:proofErr w:type="spellEnd"/>
    </w:p>
    <w:tbl>
      <w:tblPr>
        <w:tblStyle w:val="TableGrid1"/>
        <w:tblW w:w="7763" w:type="dxa"/>
        <w:tblInd w:w="1062" w:type="dxa"/>
        <w:tblLayout w:type="fixed"/>
        <w:tblLook w:val="04A0" w:firstRow="1" w:lastRow="0" w:firstColumn="1" w:lastColumn="0" w:noHBand="0" w:noVBand="1"/>
      </w:tblPr>
      <w:tblGrid>
        <w:gridCol w:w="1526"/>
        <w:gridCol w:w="567"/>
        <w:gridCol w:w="992"/>
        <w:gridCol w:w="992"/>
        <w:gridCol w:w="1134"/>
        <w:gridCol w:w="1134"/>
        <w:gridCol w:w="1418"/>
      </w:tblGrid>
      <w:tr w:rsidR="005F6A16" w:rsidRPr="00DC19C8" w14:paraId="574560CB" w14:textId="77777777" w:rsidTr="00A12505">
        <w:tc>
          <w:tcPr>
            <w:tcW w:w="1526" w:type="dxa"/>
            <w:tcBorders>
              <w:top w:val="single" w:sz="4" w:space="0" w:color="auto"/>
              <w:left w:val="nil"/>
              <w:bottom w:val="single" w:sz="4" w:space="0" w:color="auto"/>
              <w:right w:val="nil"/>
            </w:tcBorders>
            <w:vAlign w:val="center"/>
            <w:hideMark/>
          </w:tcPr>
          <w:p w14:paraId="13193DBD" w14:textId="77777777" w:rsidR="005F6A16" w:rsidRPr="00DC19C8" w:rsidRDefault="005F6A16" w:rsidP="00A12505">
            <w:pPr>
              <w:jc w:val="center"/>
              <w:rPr>
                <w:rFonts w:ascii="Times New Roman" w:eastAsia="Calibri" w:hAnsi="Times New Roman" w:cs="Times New Roman"/>
                <w:b/>
                <w:bCs/>
                <w:sz w:val="20"/>
                <w:lang w:eastAsia="zh-CN"/>
              </w:rPr>
            </w:pPr>
          </w:p>
        </w:tc>
        <w:tc>
          <w:tcPr>
            <w:tcW w:w="567" w:type="dxa"/>
            <w:tcBorders>
              <w:top w:val="single" w:sz="4" w:space="0" w:color="auto"/>
              <w:left w:val="nil"/>
              <w:bottom w:val="single" w:sz="4" w:space="0" w:color="auto"/>
              <w:right w:val="nil"/>
            </w:tcBorders>
          </w:tcPr>
          <w:p w14:paraId="4A6235F4"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N</w:t>
            </w:r>
          </w:p>
        </w:tc>
        <w:tc>
          <w:tcPr>
            <w:tcW w:w="992" w:type="dxa"/>
            <w:tcBorders>
              <w:top w:val="single" w:sz="4" w:space="0" w:color="auto"/>
              <w:left w:val="nil"/>
              <w:bottom w:val="single" w:sz="4" w:space="0" w:color="auto"/>
              <w:right w:val="nil"/>
            </w:tcBorders>
            <w:vAlign w:val="center"/>
            <w:hideMark/>
          </w:tcPr>
          <w:p w14:paraId="34BCB79E" w14:textId="77777777" w:rsidR="005F6A16" w:rsidRPr="00DC19C8" w:rsidRDefault="005F6A16" w:rsidP="00A12505">
            <w:pPr>
              <w:jc w:val="center"/>
              <w:rPr>
                <w:rFonts w:ascii="Times New Roman" w:eastAsia="Calibri" w:hAnsi="Times New Roman" w:cs="Times New Roman"/>
                <w:sz w:val="20"/>
                <w:lang w:eastAsia="zh-CN"/>
              </w:rPr>
            </w:pPr>
            <w:proofErr w:type="spellStart"/>
            <w:r w:rsidRPr="00DC19C8">
              <w:rPr>
                <w:rFonts w:ascii="Times New Roman" w:eastAsia="Calibri" w:hAnsi="Times New Roman" w:cs="Times New Roman"/>
                <w:sz w:val="20"/>
              </w:rPr>
              <w:t>Mean</w:t>
            </w:r>
            <w:proofErr w:type="spellEnd"/>
          </w:p>
        </w:tc>
        <w:tc>
          <w:tcPr>
            <w:tcW w:w="992" w:type="dxa"/>
            <w:tcBorders>
              <w:top w:val="single" w:sz="4" w:space="0" w:color="auto"/>
              <w:left w:val="nil"/>
              <w:bottom w:val="single" w:sz="4" w:space="0" w:color="auto"/>
              <w:right w:val="nil"/>
            </w:tcBorders>
            <w:vAlign w:val="center"/>
            <w:hideMark/>
          </w:tcPr>
          <w:p w14:paraId="46DD0A68" w14:textId="77777777" w:rsidR="005F6A16" w:rsidRPr="00DC19C8" w:rsidRDefault="005F6A16" w:rsidP="00A12505">
            <w:pPr>
              <w:jc w:val="center"/>
              <w:rPr>
                <w:rFonts w:ascii="Times New Roman" w:eastAsia="Calibri" w:hAnsi="Times New Roman" w:cs="Times New Roman"/>
                <w:sz w:val="20"/>
                <w:lang w:eastAsia="zh-CN"/>
              </w:rPr>
            </w:pPr>
            <w:r w:rsidRPr="00DC19C8">
              <w:rPr>
                <w:rFonts w:ascii="Times New Roman" w:eastAsia="Calibri" w:hAnsi="Times New Roman" w:cs="Times New Roman"/>
                <w:sz w:val="20"/>
              </w:rPr>
              <w:t>Median</w:t>
            </w:r>
          </w:p>
        </w:tc>
        <w:tc>
          <w:tcPr>
            <w:tcW w:w="1134" w:type="dxa"/>
            <w:tcBorders>
              <w:top w:val="single" w:sz="4" w:space="0" w:color="auto"/>
              <w:left w:val="nil"/>
              <w:bottom w:val="single" w:sz="4" w:space="0" w:color="auto"/>
              <w:right w:val="nil"/>
            </w:tcBorders>
            <w:vAlign w:val="center"/>
            <w:hideMark/>
          </w:tcPr>
          <w:p w14:paraId="28E501BD" w14:textId="77777777" w:rsidR="005F6A16" w:rsidRPr="00DC19C8" w:rsidRDefault="005F6A16" w:rsidP="00A12505">
            <w:pPr>
              <w:jc w:val="center"/>
              <w:rPr>
                <w:rFonts w:ascii="Times New Roman" w:eastAsia="Calibri" w:hAnsi="Times New Roman" w:cs="Times New Roman"/>
                <w:sz w:val="20"/>
                <w:lang w:eastAsia="zh-CN"/>
              </w:rPr>
            </w:pPr>
            <w:r w:rsidRPr="00DC19C8">
              <w:rPr>
                <w:rFonts w:ascii="Times New Roman" w:eastAsia="Calibri" w:hAnsi="Times New Roman" w:cs="Times New Roman"/>
                <w:sz w:val="20"/>
              </w:rPr>
              <w:t>Minimum</w:t>
            </w:r>
          </w:p>
        </w:tc>
        <w:tc>
          <w:tcPr>
            <w:tcW w:w="1134" w:type="dxa"/>
            <w:tcBorders>
              <w:top w:val="single" w:sz="4" w:space="0" w:color="auto"/>
              <w:left w:val="nil"/>
              <w:bottom w:val="single" w:sz="4" w:space="0" w:color="auto"/>
              <w:right w:val="nil"/>
            </w:tcBorders>
            <w:vAlign w:val="center"/>
            <w:hideMark/>
          </w:tcPr>
          <w:p w14:paraId="74806DD9" w14:textId="77777777" w:rsidR="005F6A16" w:rsidRPr="00DC19C8" w:rsidRDefault="005F6A16" w:rsidP="00A12505">
            <w:pPr>
              <w:jc w:val="center"/>
              <w:rPr>
                <w:rFonts w:ascii="Times New Roman" w:eastAsia="Calibri" w:hAnsi="Times New Roman" w:cs="Times New Roman"/>
                <w:sz w:val="20"/>
                <w:lang w:eastAsia="zh-CN"/>
              </w:rPr>
            </w:pPr>
            <w:proofErr w:type="spellStart"/>
            <w:r w:rsidRPr="00DC19C8">
              <w:rPr>
                <w:rFonts w:ascii="Times New Roman" w:eastAsia="Calibri" w:hAnsi="Times New Roman" w:cs="Times New Roman"/>
                <w:sz w:val="20"/>
              </w:rPr>
              <w:t>Maximum</w:t>
            </w:r>
            <w:proofErr w:type="spellEnd"/>
          </w:p>
        </w:tc>
        <w:tc>
          <w:tcPr>
            <w:tcW w:w="1418" w:type="dxa"/>
            <w:tcBorders>
              <w:top w:val="single" w:sz="4" w:space="0" w:color="auto"/>
              <w:left w:val="nil"/>
              <w:bottom w:val="single" w:sz="4" w:space="0" w:color="auto"/>
              <w:right w:val="nil"/>
            </w:tcBorders>
            <w:vAlign w:val="center"/>
            <w:hideMark/>
          </w:tcPr>
          <w:p w14:paraId="7E0314E4" w14:textId="77777777" w:rsidR="005F6A16" w:rsidRPr="00DC19C8" w:rsidRDefault="005F6A16" w:rsidP="00A12505">
            <w:pPr>
              <w:jc w:val="center"/>
              <w:rPr>
                <w:rFonts w:ascii="Times New Roman" w:eastAsia="Calibri" w:hAnsi="Times New Roman" w:cs="Times New Roman"/>
                <w:sz w:val="20"/>
                <w:lang w:eastAsia="zh-CN"/>
              </w:rPr>
            </w:pPr>
            <w:proofErr w:type="spellStart"/>
            <w:r w:rsidRPr="00DC19C8">
              <w:rPr>
                <w:rFonts w:ascii="Times New Roman" w:eastAsia="Calibri" w:hAnsi="Times New Roman" w:cs="Times New Roman"/>
                <w:sz w:val="20"/>
              </w:rPr>
              <w:t>Std</w:t>
            </w:r>
            <w:proofErr w:type="spellEnd"/>
            <w:r w:rsidRPr="00DC19C8">
              <w:rPr>
                <w:rFonts w:ascii="Times New Roman" w:eastAsia="Calibri" w:hAnsi="Times New Roman" w:cs="Times New Roman"/>
                <w:sz w:val="20"/>
              </w:rPr>
              <w:t xml:space="preserve">. </w:t>
            </w:r>
            <w:proofErr w:type="spellStart"/>
            <w:r w:rsidRPr="00DC19C8">
              <w:rPr>
                <w:rFonts w:ascii="Times New Roman" w:eastAsia="Calibri" w:hAnsi="Times New Roman" w:cs="Times New Roman"/>
                <w:sz w:val="20"/>
              </w:rPr>
              <w:t>Deviation</w:t>
            </w:r>
            <w:proofErr w:type="spellEnd"/>
          </w:p>
        </w:tc>
      </w:tr>
      <w:tr w:rsidR="005F6A16" w:rsidRPr="00DC19C8" w14:paraId="2E4977CB" w14:textId="77777777" w:rsidTr="00A12505">
        <w:tc>
          <w:tcPr>
            <w:tcW w:w="1526" w:type="dxa"/>
            <w:tcBorders>
              <w:top w:val="single" w:sz="4" w:space="0" w:color="auto"/>
              <w:left w:val="nil"/>
              <w:bottom w:val="nil"/>
              <w:right w:val="nil"/>
            </w:tcBorders>
            <w:hideMark/>
          </w:tcPr>
          <w:p w14:paraId="1B9F303A" w14:textId="77777777" w:rsidR="005F6A16" w:rsidRPr="00DC19C8" w:rsidRDefault="005F6A16" w:rsidP="00A12505">
            <w:pPr>
              <w:rPr>
                <w:rFonts w:ascii="Times New Roman" w:eastAsia="Calibri" w:hAnsi="Times New Roman" w:cs="Times New Roman"/>
                <w:sz w:val="20"/>
                <w:lang w:eastAsia="zh-CN"/>
              </w:rPr>
            </w:pPr>
            <w:r w:rsidRPr="00DC19C8">
              <w:rPr>
                <w:rFonts w:ascii="Times New Roman" w:eastAsia="Calibri" w:hAnsi="Times New Roman" w:cs="Times New Roman"/>
                <w:sz w:val="20"/>
              </w:rPr>
              <w:t>LDER</w:t>
            </w:r>
          </w:p>
        </w:tc>
        <w:tc>
          <w:tcPr>
            <w:tcW w:w="567" w:type="dxa"/>
            <w:tcBorders>
              <w:top w:val="single" w:sz="4" w:space="0" w:color="auto"/>
              <w:left w:val="nil"/>
              <w:bottom w:val="nil"/>
              <w:right w:val="nil"/>
            </w:tcBorders>
          </w:tcPr>
          <w:p w14:paraId="4509EACD"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single" w:sz="4" w:space="0" w:color="auto"/>
              <w:left w:val="nil"/>
              <w:bottom w:val="nil"/>
              <w:right w:val="nil"/>
            </w:tcBorders>
            <w:vAlign w:val="center"/>
            <w:hideMark/>
          </w:tcPr>
          <w:p w14:paraId="28818A20"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0.776</w:t>
            </w:r>
          </w:p>
        </w:tc>
        <w:tc>
          <w:tcPr>
            <w:tcW w:w="992" w:type="dxa"/>
            <w:tcBorders>
              <w:top w:val="single" w:sz="4" w:space="0" w:color="auto"/>
              <w:left w:val="nil"/>
              <w:bottom w:val="nil"/>
              <w:right w:val="nil"/>
            </w:tcBorders>
            <w:vAlign w:val="center"/>
            <w:hideMark/>
          </w:tcPr>
          <w:p w14:paraId="0C9CA453"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0.751</w:t>
            </w:r>
          </w:p>
        </w:tc>
        <w:tc>
          <w:tcPr>
            <w:tcW w:w="1134" w:type="dxa"/>
            <w:tcBorders>
              <w:top w:val="single" w:sz="4" w:space="0" w:color="auto"/>
              <w:left w:val="nil"/>
              <w:bottom w:val="nil"/>
              <w:right w:val="nil"/>
            </w:tcBorders>
            <w:vAlign w:val="center"/>
            <w:hideMark/>
          </w:tcPr>
          <w:p w14:paraId="7058CE8E"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0.191</w:t>
            </w:r>
          </w:p>
        </w:tc>
        <w:tc>
          <w:tcPr>
            <w:tcW w:w="1134" w:type="dxa"/>
            <w:tcBorders>
              <w:top w:val="single" w:sz="4" w:space="0" w:color="auto"/>
              <w:left w:val="nil"/>
              <w:bottom w:val="nil"/>
              <w:right w:val="nil"/>
            </w:tcBorders>
            <w:vAlign w:val="center"/>
            <w:hideMark/>
          </w:tcPr>
          <w:p w14:paraId="19F90597"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2.598</w:t>
            </w:r>
          </w:p>
        </w:tc>
        <w:tc>
          <w:tcPr>
            <w:tcW w:w="1418" w:type="dxa"/>
            <w:tcBorders>
              <w:top w:val="single" w:sz="4" w:space="0" w:color="auto"/>
              <w:left w:val="nil"/>
              <w:bottom w:val="nil"/>
              <w:right w:val="nil"/>
            </w:tcBorders>
            <w:vAlign w:val="center"/>
            <w:hideMark/>
          </w:tcPr>
          <w:p w14:paraId="015829D5"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0.607</w:t>
            </w:r>
          </w:p>
        </w:tc>
      </w:tr>
      <w:tr w:rsidR="005F6A16" w:rsidRPr="00DC19C8" w14:paraId="43FC09F6" w14:textId="77777777" w:rsidTr="00A12505">
        <w:tc>
          <w:tcPr>
            <w:tcW w:w="1526" w:type="dxa"/>
            <w:tcBorders>
              <w:top w:val="nil"/>
              <w:left w:val="nil"/>
              <w:bottom w:val="nil"/>
              <w:right w:val="nil"/>
            </w:tcBorders>
            <w:hideMark/>
          </w:tcPr>
          <w:p w14:paraId="53856F0D" w14:textId="77777777" w:rsidR="005F6A16" w:rsidRPr="00DC19C8" w:rsidRDefault="005F6A16" w:rsidP="00A12505">
            <w:pPr>
              <w:rPr>
                <w:rFonts w:ascii="Times New Roman" w:eastAsia="Calibri" w:hAnsi="Times New Roman" w:cs="Times New Roman"/>
                <w:sz w:val="20"/>
                <w:lang w:eastAsia="zh-CN"/>
              </w:rPr>
            </w:pPr>
            <w:r w:rsidRPr="00DC19C8">
              <w:rPr>
                <w:rFonts w:ascii="Times New Roman" w:eastAsia="Calibri" w:hAnsi="Times New Roman" w:cs="Times New Roman"/>
                <w:sz w:val="20"/>
              </w:rPr>
              <w:t>Inflasi</w:t>
            </w:r>
          </w:p>
        </w:tc>
        <w:tc>
          <w:tcPr>
            <w:tcW w:w="567" w:type="dxa"/>
            <w:tcBorders>
              <w:top w:val="nil"/>
              <w:left w:val="nil"/>
              <w:bottom w:val="nil"/>
              <w:right w:val="nil"/>
            </w:tcBorders>
          </w:tcPr>
          <w:p w14:paraId="410235EE"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nil"/>
              <w:left w:val="nil"/>
              <w:bottom w:val="nil"/>
              <w:right w:val="nil"/>
            </w:tcBorders>
            <w:vAlign w:val="center"/>
            <w:hideMark/>
          </w:tcPr>
          <w:p w14:paraId="0CDBB259"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0.020</w:t>
            </w:r>
          </w:p>
        </w:tc>
        <w:tc>
          <w:tcPr>
            <w:tcW w:w="992" w:type="dxa"/>
            <w:tcBorders>
              <w:top w:val="nil"/>
              <w:left w:val="nil"/>
              <w:bottom w:val="nil"/>
              <w:right w:val="nil"/>
            </w:tcBorders>
            <w:vAlign w:val="center"/>
            <w:hideMark/>
          </w:tcPr>
          <w:p w14:paraId="6355AD5D"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0.020</w:t>
            </w:r>
          </w:p>
        </w:tc>
        <w:tc>
          <w:tcPr>
            <w:tcW w:w="1134" w:type="dxa"/>
            <w:tcBorders>
              <w:top w:val="nil"/>
              <w:left w:val="nil"/>
              <w:bottom w:val="nil"/>
              <w:right w:val="nil"/>
            </w:tcBorders>
            <w:vAlign w:val="center"/>
            <w:hideMark/>
          </w:tcPr>
          <w:p w14:paraId="68E8A8FE"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0.013</w:t>
            </w:r>
          </w:p>
        </w:tc>
        <w:tc>
          <w:tcPr>
            <w:tcW w:w="1134" w:type="dxa"/>
            <w:tcBorders>
              <w:top w:val="nil"/>
              <w:left w:val="nil"/>
              <w:bottom w:val="nil"/>
              <w:right w:val="nil"/>
            </w:tcBorders>
            <w:vAlign w:val="center"/>
            <w:hideMark/>
          </w:tcPr>
          <w:p w14:paraId="40A7FACE"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0.030</w:t>
            </w:r>
          </w:p>
        </w:tc>
        <w:tc>
          <w:tcPr>
            <w:tcW w:w="1418" w:type="dxa"/>
            <w:tcBorders>
              <w:top w:val="nil"/>
              <w:left w:val="nil"/>
              <w:bottom w:val="nil"/>
              <w:right w:val="nil"/>
            </w:tcBorders>
            <w:vAlign w:val="center"/>
            <w:hideMark/>
          </w:tcPr>
          <w:p w14:paraId="074D8535"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0.006</w:t>
            </w:r>
          </w:p>
        </w:tc>
      </w:tr>
      <w:tr w:rsidR="005F6A16" w:rsidRPr="00DC19C8" w14:paraId="0BD37472" w14:textId="77777777" w:rsidTr="00A12505">
        <w:tc>
          <w:tcPr>
            <w:tcW w:w="1526" w:type="dxa"/>
            <w:tcBorders>
              <w:top w:val="nil"/>
              <w:left w:val="nil"/>
              <w:bottom w:val="nil"/>
              <w:right w:val="nil"/>
            </w:tcBorders>
            <w:hideMark/>
          </w:tcPr>
          <w:p w14:paraId="3716F5B0" w14:textId="77777777" w:rsidR="005F6A16" w:rsidRPr="00DC19C8" w:rsidRDefault="005F6A16" w:rsidP="00A12505">
            <w:pPr>
              <w:rPr>
                <w:rFonts w:ascii="Times New Roman" w:eastAsia="Calibri" w:hAnsi="Times New Roman" w:cs="Times New Roman"/>
                <w:sz w:val="20"/>
                <w:lang w:eastAsia="zh-CN"/>
              </w:rPr>
            </w:pPr>
            <w:r w:rsidRPr="00DC19C8">
              <w:rPr>
                <w:rFonts w:ascii="Times New Roman" w:eastAsia="Calibri" w:hAnsi="Times New Roman" w:cs="Times New Roman"/>
                <w:sz w:val="20"/>
              </w:rPr>
              <w:t>Nilai Tukar</w:t>
            </w:r>
          </w:p>
        </w:tc>
        <w:tc>
          <w:tcPr>
            <w:tcW w:w="567" w:type="dxa"/>
            <w:tcBorders>
              <w:top w:val="nil"/>
              <w:left w:val="nil"/>
              <w:bottom w:val="nil"/>
              <w:right w:val="nil"/>
            </w:tcBorders>
          </w:tcPr>
          <w:p w14:paraId="06DC3A2E"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nil"/>
              <w:left w:val="nil"/>
              <w:bottom w:val="nil"/>
              <w:right w:val="nil"/>
            </w:tcBorders>
            <w:vAlign w:val="center"/>
            <w:hideMark/>
          </w:tcPr>
          <w:p w14:paraId="49B0B700"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14.625</w:t>
            </w:r>
          </w:p>
        </w:tc>
        <w:tc>
          <w:tcPr>
            <w:tcW w:w="992" w:type="dxa"/>
            <w:tcBorders>
              <w:top w:val="nil"/>
              <w:left w:val="nil"/>
              <w:bottom w:val="nil"/>
              <w:right w:val="nil"/>
            </w:tcBorders>
            <w:vAlign w:val="center"/>
            <w:hideMark/>
          </w:tcPr>
          <w:p w14:paraId="1B694EFF"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14.653</w:t>
            </w:r>
          </w:p>
        </w:tc>
        <w:tc>
          <w:tcPr>
            <w:tcW w:w="1134" w:type="dxa"/>
            <w:tcBorders>
              <w:top w:val="nil"/>
              <w:left w:val="nil"/>
              <w:bottom w:val="nil"/>
              <w:right w:val="nil"/>
            </w:tcBorders>
            <w:vAlign w:val="center"/>
            <w:hideMark/>
          </w:tcPr>
          <w:p w14:paraId="320857DE"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13.662</w:t>
            </w:r>
          </w:p>
        </w:tc>
        <w:tc>
          <w:tcPr>
            <w:tcW w:w="1134" w:type="dxa"/>
            <w:tcBorders>
              <w:top w:val="nil"/>
              <w:left w:val="nil"/>
              <w:bottom w:val="nil"/>
              <w:right w:val="nil"/>
            </w:tcBorders>
            <w:vAlign w:val="center"/>
            <w:hideMark/>
          </w:tcPr>
          <w:p w14:paraId="051FA137"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16.367</w:t>
            </w:r>
          </w:p>
        </w:tc>
        <w:tc>
          <w:tcPr>
            <w:tcW w:w="1418" w:type="dxa"/>
            <w:tcBorders>
              <w:top w:val="nil"/>
              <w:left w:val="nil"/>
              <w:bottom w:val="nil"/>
              <w:right w:val="nil"/>
            </w:tcBorders>
            <w:vAlign w:val="center"/>
            <w:hideMark/>
          </w:tcPr>
          <w:p w14:paraId="29786BFC"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0.654</w:t>
            </w:r>
          </w:p>
        </w:tc>
      </w:tr>
      <w:tr w:rsidR="005F6A16" w:rsidRPr="00DC19C8" w14:paraId="73F3601D" w14:textId="77777777" w:rsidTr="00A12505">
        <w:tc>
          <w:tcPr>
            <w:tcW w:w="1526" w:type="dxa"/>
            <w:tcBorders>
              <w:top w:val="nil"/>
              <w:left w:val="nil"/>
              <w:bottom w:val="nil"/>
              <w:right w:val="nil"/>
            </w:tcBorders>
            <w:hideMark/>
          </w:tcPr>
          <w:p w14:paraId="4A270158" w14:textId="77777777" w:rsidR="005F6A16" w:rsidRPr="00DC19C8" w:rsidRDefault="005F6A16" w:rsidP="00A12505">
            <w:pPr>
              <w:rPr>
                <w:rFonts w:ascii="Times New Roman" w:eastAsia="Calibri" w:hAnsi="Times New Roman" w:cs="Times New Roman"/>
                <w:sz w:val="20"/>
                <w:lang w:eastAsia="zh-CN"/>
              </w:rPr>
            </w:pPr>
            <w:r w:rsidRPr="00DC19C8">
              <w:rPr>
                <w:rFonts w:ascii="Times New Roman" w:eastAsia="Calibri" w:hAnsi="Times New Roman" w:cs="Times New Roman"/>
                <w:sz w:val="20"/>
              </w:rPr>
              <w:t>PDB</w:t>
            </w:r>
          </w:p>
        </w:tc>
        <w:tc>
          <w:tcPr>
            <w:tcW w:w="567" w:type="dxa"/>
            <w:tcBorders>
              <w:top w:val="nil"/>
              <w:left w:val="nil"/>
              <w:bottom w:val="nil"/>
              <w:right w:val="nil"/>
            </w:tcBorders>
          </w:tcPr>
          <w:p w14:paraId="556B7531"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nil"/>
              <w:left w:val="nil"/>
              <w:bottom w:val="nil"/>
              <w:right w:val="nil"/>
            </w:tcBorders>
            <w:vAlign w:val="center"/>
            <w:hideMark/>
          </w:tcPr>
          <w:p w14:paraId="167BCC0B"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809.862</w:t>
            </w:r>
          </w:p>
        </w:tc>
        <w:tc>
          <w:tcPr>
            <w:tcW w:w="992" w:type="dxa"/>
            <w:tcBorders>
              <w:top w:val="nil"/>
              <w:left w:val="nil"/>
              <w:bottom w:val="nil"/>
              <w:right w:val="nil"/>
            </w:tcBorders>
            <w:vAlign w:val="center"/>
            <w:hideMark/>
          </w:tcPr>
          <w:p w14:paraId="264F8369"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902.156</w:t>
            </w:r>
          </w:p>
        </w:tc>
        <w:tc>
          <w:tcPr>
            <w:tcW w:w="1134" w:type="dxa"/>
            <w:tcBorders>
              <w:top w:val="nil"/>
              <w:left w:val="nil"/>
              <w:bottom w:val="nil"/>
              <w:right w:val="nil"/>
            </w:tcBorders>
            <w:vAlign w:val="center"/>
            <w:hideMark/>
          </w:tcPr>
          <w:p w14:paraId="53711C93"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529.574</w:t>
            </w:r>
          </w:p>
        </w:tc>
        <w:tc>
          <w:tcPr>
            <w:tcW w:w="1134" w:type="dxa"/>
            <w:tcBorders>
              <w:top w:val="nil"/>
              <w:left w:val="nil"/>
              <w:bottom w:val="nil"/>
              <w:right w:val="nil"/>
            </w:tcBorders>
            <w:vAlign w:val="center"/>
            <w:hideMark/>
          </w:tcPr>
          <w:p w14:paraId="35620D8B"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906.543</w:t>
            </w:r>
          </w:p>
        </w:tc>
        <w:tc>
          <w:tcPr>
            <w:tcW w:w="1418" w:type="dxa"/>
            <w:tcBorders>
              <w:top w:val="nil"/>
              <w:left w:val="nil"/>
              <w:bottom w:val="nil"/>
              <w:right w:val="nil"/>
            </w:tcBorders>
            <w:vAlign w:val="center"/>
            <w:hideMark/>
          </w:tcPr>
          <w:p w14:paraId="0DAE54AE"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161.726</w:t>
            </w:r>
          </w:p>
        </w:tc>
      </w:tr>
      <w:tr w:rsidR="005F6A16" w:rsidRPr="00DC19C8" w14:paraId="2009F74B" w14:textId="77777777" w:rsidTr="00A12505">
        <w:tc>
          <w:tcPr>
            <w:tcW w:w="1526" w:type="dxa"/>
            <w:tcBorders>
              <w:top w:val="nil"/>
              <w:left w:val="nil"/>
              <w:bottom w:val="nil"/>
              <w:right w:val="nil"/>
            </w:tcBorders>
            <w:hideMark/>
          </w:tcPr>
          <w:p w14:paraId="5ABB2E9F" w14:textId="77777777" w:rsidR="005F6A16" w:rsidRPr="00DC19C8" w:rsidRDefault="005F6A16" w:rsidP="00A12505">
            <w:pPr>
              <w:rPr>
                <w:rFonts w:ascii="Times New Roman" w:eastAsia="Calibri" w:hAnsi="Times New Roman" w:cs="Times New Roman"/>
                <w:sz w:val="20"/>
                <w:lang w:eastAsia="zh-CN"/>
              </w:rPr>
            </w:pPr>
            <w:r w:rsidRPr="00DC19C8">
              <w:rPr>
                <w:rFonts w:ascii="Times New Roman" w:eastAsia="Calibri" w:hAnsi="Times New Roman" w:cs="Times New Roman"/>
                <w:sz w:val="20"/>
              </w:rPr>
              <w:t>ROA</w:t>
            </w:r>
          </w:p>
        </w:tc>
        <w:tc>
          <w:tcPr>
            <w:tcW w:w="567" w:type="dxa"/>
            <w:tcBorders>
              <w:top w:val="nil"/>
              <w:left w:val="nil"/>
              <w:bottom w:val="nil"/>
              <w:right w:val="nil"/>
            </w:tcBorders>
          </w:tcPr>
          <w:p w14:paraId="59F86DCA"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nil"/>
              <w:left w:val="nil"/>
              <w:bottom w:val="nil"/>
              <w:right w:val="nil"/>
            </w:tcBorders>
            <w:vAlign w:val="center"/>
            <w:hideMark/>
          </w:tcPr>
          <w:p w14:paraId="2A98CB08"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3.495</w:t>
            </w:r>
          </w:p>
        </w:tc>
        <w:tc>
          <w:tcPr>
            <w:tcW w:w="992" w:type="dxa"/>
            <w:tcBorders>
              <w:top w:val="nil"/>
              <w:left w:val="nil"/>
              <w:bottom w:val="nil"/>
              <w:right w:val="nil"/>
            </w:tcBorders>
            <w:vAlign w:val="center"/>
            <w:hideMark/>
          </w:tcPr>
          <w:p w14:paraId="42B1B3EB"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1.413</w:t>
            </w:r>
          </w:p>
        </w:tc>
        <w:tc>
          <w:tcPr>
            <w:tcW w:w="1134" w:type="dxa"/>
            <w:tcBorders>
              <w:top w:val="nil"/>
              <w:left w:val="nil"/>
              <w:bottom w:val="nil"/>
              <w:right w:val="nil"/>
            </w:tcBorders>
            <w:vAlign w:val="center"/>
            <w:hideMark/>
          </w:tcPr>
          <w:p w14:paraId="3650192F"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0.418</w:t>
            </w:r>
          </w:p>
        </w:tc>
        <w:tc>
          <w:tcPr>
            <w:tcW w:w="1134" w:type="dxa"/>
            <w:tcBorders>
              <w:top w:val="nil"/>
              <w:left w:val="nil"/>
              <w:bottom w:val="nil"/>
              <w:right w:val="nil"/>
            </w:tcBorders>
            <w:vAlign w:val="center"/>
            <w:hideMark/>
          </w:tcPr>
          <w:p w14:paraId="39E2FF9C"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13.434</w:t>
            </w:r>
          </w:p>
        </w:tc>
        <w:tc>
          <w:tcPr>
            <w:tcW w:w="1418" w:type="dxa"/>
            <w:tcBorders>
              <w:top w:val="nil"/>
              <w:left w:val="nil"/>
              <w:bottom w:val="nil"/>
              <w:right w:val="nil"/>
            </w:tcBorders>
            <w:vAlign w:val="center"/>
            <w:hideMark/>
          </w:tcPr>
          <w:p w14:paraId="5474CDDA"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4.344</w:t>
            </w:r>
          </w:p>
        </w:tc>
      </w:tr>
      <w:tr w:rsidR="005F6A16" w:rsidRPr="00DC19C8" w14:paraId="5A235647" w14:textId="77777777" w:rsidTr="00A12505">
        <w:tc>
          <w:tcPr>
            <w:tcW w:w="1526" w:type="dxa"/>
            <w:tcBorders>
              <w:top w:val="nil"/>
              <w:left w:val="nil"/>
              <w:bottom w:val="single" w:sz="4" w:space="0" w:color="auto"/>
              <w:right w:val="nil"/>
            </w:tcBorders>
            <w:hideMark/>
          </w:tcPr>
          <w:p w14:paraId="3960BC95" w14:textId="77777777" w:rsidR="005F6A16" w:rsidRPr="00DC19C8" w:rsidRDefault="005F6A16" w:rsidP="00A12505">
            <w:pPr>
              <w:rPr>
                <w:rFonts w:ascii="Times New Roman" w:eastAsia="Calibri" w:hAnsi="Times New Roman" w:cs="Times New Roman"/>
                <w:sz w:val="20"/>
                <w:lang w:eastAsia="zh-CN"/>
              </w:rPr>
            </w:pPr>
            <w:proofErr w:type="spellStart"/>
            <w:r w:rsidRPr="00DC19C8">
              <w:rPr>
                <w:rFonts w:ascii="Times New Roman" w:eastAsia="Calibri" w:hAnsi="Times New Roman" w:cs="Times New Roman"/>
                <w:sz w:val="20"/>
              </w:rPr>
              <w:t>Tobins`Q</w:t>
            </w:r>
            <w:proofErr w:type="spellEnd"/>
          </w:p>
        </w:tc>
        <w:tc>
          <w:tcPr>
            <w:tcW w:w="567" w:type="dxa"/>
            <w:tcBorders>
              <w:top w:val="nil"/>
              <w:left w:val="nil"/>
              <w:bottom w:val="single" w:sz="4" w:space="0" w:color="auto"/>
              <w:right w:val="nil"/>
            </w:tcBorders>
          </w:tcPr>
          <w:p w14:paraId="4F2F6CC8" w14:textId="77777777" w:rsidR="005F6A16" w:rsidRPr="00DC19C8" w:rsidRDefault="005F6A16" w:rsidP="00A12505">
            <w:pPr>
              <w:jc w:val="center"/>
              <w:rPr>
                <w:rFonts w:ascii="Times New Roman" w:eastAsia="Calibri" w:hAnsi="Times New Roman" w:cs="Times New Roman"/>
                <w:sz w:val="20"/>
              </w:rPr>
            </w:pPr>
            <w:r w:rsidRPr="00DC19C8">
              <w:rPr>
                <w:rFonts w:ascii="Times New Roman" w:eastAsia="Calibri" w:hAnsi="Times New Roman" w:cs="Times New Roman"/>
                <w:sz w:val="20"/>
              </w:rPr>
              <w:t>92</w:t>
            </w:r>
          </w:p>
        </w:tc>
        <w:tc>
          <w:tcPr>
            <w:tcW w:w="992" w:type="dxa"/>
            <w:tcBorders>
              <w:top w:val="nil"/>
              <w:left w:val="nil"/>
              <w:bottom w:val="single" w:sz="4" w:space="0" w:color="auto"/>
              <w:right w:val="nil"/>
            </w:tcBorders>
            <w:vAlign w:val="center"/>
            <w:hideMark/>
          </w:tcPr>
          <w:p w14:paraId="696D0786"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4.812</w:t>
            </w:r>
          </w:p>
        </w:tc>
        <w:tc>
          <w:tcPr>
            <w:tcW w:w="992" w:type="dxa"/>
            <w:tcBorders>
              <w:top w:val="nil"/>
              <w:left w:val="nil"/>
              <w:bottom w:val="single" w:sz="4" w:space="0" w:color="auto"/>
              <w:right w:val="nil"/>
            </w:tcBorders>
            <w:vAlign w:val="center"/>
            <w:hideMark/>
          </w:tcPr>
          <w:p w14:paraId="16C69BD7"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3.220</w:t>
            </w:r>
          </w:p>
        </w:tc>
        <w:tc>
          <w:tcPr>
            <w:tcW w:w="1134" w:type="dxa"/>
            <w:tcBorders>
              <w:top w:val="nil"/>
              <w:left w:val="nil"/>
              <w:bottom w:val="single" w:sz="4" w:space="0" w:color="auto"/>
              <w:right w:val="nil"/>
            </w:tcBorders>
            <w:vAlign w:val="center"/>
            <w:hideMark/>
          </w:tcPr>
          <w:p w14:paraId="5C5539C1"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1.320</w:t>
            </w:r>
          </w:p>
        </w:tc>
        <w:tc>
          <w:tcPr>
            <w:tcW w:w="1134" w:type="dxa"/>
            <w:tcBorders>
              <w:top w:val="nil"/>
              <w:left w:val="nil"/>
              <w:bottom w:val="single" w:sz="4" w:space="0" w:color="auto"/>
              <w:right w:val="nil"/>
            </w:tcBorders>
            <w:vAlign w:val="center"/>
            <w:hideMark/>
          </w:tcPr>
          <w:p w14:paraId="4C959939"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9.970</w:t>
            </w:r>
          </w:p>
        </w:tc>
        <w:tc>
          <w:tcPr>
            <w:tcW w:w="1418" w:type="dxa"/>
            <w:tcBorders>
              <w:top w:val="nil"/>
              <w:left w:val="nil"/>
              <w:bottom w:val="single" w:sz="4" w:space="0" w:color="auto"/>
              <w:right w:val="nil"/>
            </w:tcBorders>
            <w:vAlign w:val="center"/>
            <w:hideMark/>
          </w:tcPr>
          <w:p w14:paraId="22240011" w14:textId="77777777" w:rsidR="005F6A16" w:rsidRPr="00DC19C8" w:rsidRDefault="005F6A16" w:rsidP="00A12505">
            <w:pPr>
              <w:jc w:val="right"/>
              <w:rPr>
                <w:rFonts w:ascii="Times New Roman" w:eastAsia="Calibri" w:hAnsi="Times New Roman" w:cs="Times New Roman"/>
                <w:sz w:val="20"/>
                <w:lang w:eastAsia="zh-CN"/>
              </w:rPr>
            </w:pPr>
            <w:r w:rsidRPr="00DC19C8">
              <w:rPr>
                <w:rFonts w:ascii="Times New Roman" w:eastAsia="Calibri" w:hAnsi="Times New Roman" w:cs="Times New Roman"/>
                <w:sz w:val="20"/>
              </w:rPr>
              <w:t>3.561</w:t>
            </w:r>
          </w:p>
        </w:tc>
      </w:tr>
    </w:tbl>
    <w:p w14:paraId="5CF1B5CE" w14:textId="77777777" w:rsidR="005F6A16" w:rsidRDefault="005F6A16" w:rsidP="005F6A16">
      <w:pPr>
        <w:pStyle w:val="ListParagraph"/>
        <w:ind w:left="360"/>
        <w:jc w:val="both"/>
        <w:rPr>
          <w:rFonts w:eastAsia="Calibri"/>
          <w:szCs w:val="24"/>
          <w:lang w:val="id-ID"/>
        </w:rPr>
      </w:pPr>
    </w:p>
    <w:p w14:paraId="18B1D449" w14:textId="1733675B" w:rsidR="005F6A16" w:rsidRDefault="005F6A16" w:rsidP="005F6A16">
      <w:pPr>
        <w:pStyle w:val="ListParagraph"/>
        <w:ind w:left="360"/>
        <w:jc w:val="both"/>
        <w:rPr>
          <w:rFonts w:eastAsia="Calibri"/>
          <w:szCs w:val="24"/>
          <w:lang w:val="id-ID"/>
        </w:rPr>
      </w:pPr>
      <w:proofErr w:type="spellStart"/>
      <w:r w:rsidRPr="005F6A16">
        <w:rPr>
          <w:rFonts w:eastAsia="Calibri"/>
          <w:szCs w:val="24"/>
          <w:lang w:val="id-ID"/>
        </w:rPr>
        <w:t>Based</w:t>
      </w:r>
      <w:proofErr w:type="spellEnd"/>
      <w:r w:rsidRPr="005F6A16">
        <w:rPr>
          <w:rFonts w:eastAsia="Calibri"/>
          <w:szCs w:val="24"/>
          <w:lang w:val="id-ID"/>
        </w:rPr>
        <w:t xml:space="preserve"> </w:t>
      </w:r>
      <w:proofErr w:type="spellStart"/>
      <w:r w:rsidRPr="005F6A16">
        <w:rPr>
          <w:rFonts w:eastAsia="Calibri"/>
          <w:szCs w:val="24"/>
          <w:lang w:val="id-ID"/>
        </w:rPr>
        <w:t>on</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model </w:t>
      </w:r>
      <w:proofErr w:type="spellStart"/>
      <w:r w:rsidRPr="005F6A16">
        <w:rPr>
          <w:rFonts w:eastAsia="Calibri"/>
          <w:szCs w:val="24"/>
          <w:lang w:val="id-ID"/>
        </w:rPr>
        <w:t>structure</w:t>
      </w:r>
      <w:proofErr w:type="spellEnd"/>
      <w:r w:rsidRPr="005F6A16">
        <w:rPr>
          <w:rFonts w:eastAsia="Calibri"/>
          <w:szCs w:val="24"/>
          <w:lang w:val="id-ID"/>
        </w:rPr>
        <w:t xml:space="preserve"> </w:t>
      </w:r>
      <w:proofErr w:type="spellStart"/>
      <w:r w:rsidRPr="005F6A16">
        <w:rPr>
          <w:rFonts w:eastAsia="Calibri"/>
          <w:szCs w:val="24"/>
          <w:lang w:val="id-ID"/>
        </w:rPr>
        <w:t>table</w:t>
      </w:r>
      <w:proofErr w:type="spellEnd"/>
      <w:r w:rsidRPr="005F6A16">
        <w:rPr>
          <w:rFonts w:eastAsia="Calibri"/>
          <w:szCs w:val="24"/>
          <w:lang w:val="id-ID"/>
        </w:rPr>
        <w:t xml:space="preserve"> (LDER), </w:t>
      </w:r>
      <w:proofErr w:type="spellStart"/>
      <w:r w:rsidRPr="005F6A16">
        <w:rPr>
          <w:rFonts w:eastAsia="Calibri"/>
          <w:szCs w:val="24"/>
          <w:lang w:val="id-ID"/>
        </w:rPr>
        <w:t>the</w:t>
      </w:r>
      <w:proofErr w:type="spellEnd"/>
      <w:r w:rsidRPr="005F6A16">
        <w:rPr>
          <w:rFonts w:eastAsia="Calibri"/>
          <w:szCs w:val="24"/>
          <w:lang w:val="id-ID"/>
        </w:rPr>
        <w:t xml:space="preserve"> minimum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0.191,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2.598,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0.776,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0.607,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0.751. The minimum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of</w:t>
      </w:r>
      <w:proofErr w:type="spellEnd"/>
      <w:r w:rsidRPr="005F6A16">
        <w:rPr>
          <w:rFonts w:eastAsia="Calibri"/>
          <w:szCs w:val="24"/>
          <w:lang w:val="id-ID"/>
        </w:rPr>
        <w:t xml:space="preserve"> </w:t>
      </w:r>
      <w:proofErr w:type="spellStart"/>
      <w:r w:rsidRPr="005F6A16">
        <w:rPr>
          <w:rFonts w:eastAsia="Calibri"/>
          <w:szCs w:val="24"/>
          <w:lang w:val="id-ID"/>
        </w:rPr>
        <w:t>inflation</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0.013,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0.030,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0.020,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0.006,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0.020. The minimum </w:t>
      </w:r>
      <w:proofErr w:type="spellStart"/>
      <w:r w:rsidRPr="005F6A16">
        <w:rPr>
          <w:rFonts w:eastAsia="Calibri"/>
          <w:szCs w:val="24"/>
          <w:lang w:val="id-ID"/>
        </w:rPr>
        <w:t>exchange</w:t>
      </w:r>
      <w:proofErr w:type="spellEnd"/>
      <w:r w:rsidRPr="005F6A16">
        <w:rPr>
          <w:rFonts w:eastAsia="Calibri"/>
          <w:szCs w:val="24"/>
          <w:lang w:val="id-ID"/>
        </w:rPr>
        <w:t xml:space="preserve"> </w:t>
      </w:r>
      <w:proofErr w:type="spellStart"/>
      <w:r w:rsidRPr="005F6A16">
        <w:rPr>
          <w:rFonts w:eastAsia="Calibri"/>
          <w:szCs w:val="24"/>
          <w:lang w:val="id-ID"/>
        </w:rPr>
        <w:t>rate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13,662,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16,367,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14,625,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0.654,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14,653. The minimum GDP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529,574,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906,543,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809,862,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161,726,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902,156. </w:t>
      </w:r>
      <w:proofErr w:type="spellStart"/>
      <w:r w:rsidRPr="005F6A16">
        <w:rPr>
          <w:rFonts w:eastAsia="Calibri"/>
          <w:szCs w:val="24"/>
          <w:lang w:val="id-ID"/>
        </w:rPr>
        <w:t>financial</w:t>
      </w:r>
      <w:proofErr w:type="spellEnd"/>
      <w:r w:rsidRPr="005F6A16">
        <w:rPr>
          <w:rFonts w:eastAsia="Calibri"/>
          <w:szCs w:val="24"/>
          <w:lang w:val="id-ID"/>
        </w:rPr>
        <w:t xml:space="preserve"> </w:t>
      </w:r>
      <w:proofErr w:type="spellStart"/>
      <w:r w:rsidRPr="005F6A16">
        <w:rPr>
          <w:rFonts w:eastAsia="Calibri"/>
          <w:szCs w:val="24"/>
          <w:lang w:val="id-ID"/>
        </w:rPr>
        <w:t>performance</w:t>
      </w:r>
      <w:proofErr w:type="spellEnd"/>
      <w:r w:rsidRPr="005F6A16">
        <w:rPr>
          <w:rFonts w:eastAsia="Calibri"/>
          <w:szCs w:val="24"/>
          <w:lang w:val="id-ID"/>
        </w:rPr>
        <w:t xml:space="preserve"> (ROA) minimum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0.418,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13,434,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3,495,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4,344,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1,413. </w:t>
      </w:r>
      <w:proofErr w:type="spellStart"/>
      <w:r w:rsidRPr="005F6A16">
        <w:rPr>
          <w:rFonts w:eastAsia="Calibri"/>
          <w:szCs w:val="24"/>
          <w:lang w:val="id-ID"/>
        </w:rPr>
        <w:t>company</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Tobins`Q</w:t>
      </w:r>
      <w:proofErr w:type="spellEnd"/>
      <w:r w:rsidRPr="005F6A16">
        <w:rPr>
          <w:rFonts w:eastAsia="Calibri"/>
          <w:szCs w:val="24"/>
          <w:lang w:val="id-ID"/>
        </w:rPr>
        <w:t xml:space="preserve">) minimum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1,320, </w:t>
      </w:r>
      <w:proofErr w:type="spellStart"/>
      <w:r w:rsidRPr="005F6A16">
        <w:rPr>
          <w:rFonts w:eastAsia="Calibri"/>
          <w:szCs w:val="24"/>
          <w:lang w:val="id-ID"/>
        </w:rPr>
        <w:t>maximum</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9,970,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average</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4,812, </w:t>
      </w:r>
      <w:proofErr w:type="spellStart"/>
      <w:r w:rsidRPr="005F6A16">
        <w:rPr>
          <w:rFonts w:eastAsia="Calibri"/>
          <w:szCs w:val="24"/>
          <w:lang w:val="id-ID"/>
        </w:rPr>
        <w:t>the</w:t>
      </w:r>
      <w:proofErr w:type="spellEnd"/>
      <w:r w:rsidRPr="005F6A16">
        <w:rPr>
          <w:rFonts w:eastAsia="Calibri"/>
          <w:szCs w:val="24"/>
          <w:lang w:val="id-ID"/>
        </w:rPr>
        <w:t xml:space="preserve"> </w:t>
      </w:r>
      <w:proofErr w:type="spellStart"/>
      <w:r w:rsidRPr="005F6A16">
        <w:rPr>
          <w:rFonts w:eastAsia="Calibri"/>
          <w:szCs w:val="24"/>
          <w:lang w:val="id-ID"/>
        </w:rPr>
        <w:t>standard</w:t>
      </w:r>
      <w:proofErr w:type="spellEnd"/>
      <w:r w:rsidRPr="005F6A16">
        <w:rPr>
          <w:rFonts w:eastAsia="Calibri"/>
          <w:szCs w:val="24"/>
          <w:lang w:val="id-ID"/>
        </w:rPr>
        <w:t xml:space="preserve"> </w:t>
      </w:r>
      <w:proofErr w:type="spellStart"/>
      <w:r w:rsidRPr="005F6A16">
        <w:rPr>
          <w:rFonts w:eastAsia="Calibri"/>
          <w:szCs w:val="24"/>
          <w:lang w:val="id-ID"/>
        </w:rPr>
        <w:t>deviation</w:t>
      </w:r>
      <w:proofErr w:type="spellEnd"/>
      <w:r w:rsidRPr="005F6A16">
        <w:rPr>
          <w:rFonts w:eastAsia="Calibri"/>
          <w:szCs w:val="24"/>
          <w:lang w:val="id-ID"/>
        </w:rPr>
        <w:t xml:space="preserve">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3,561, </w:t>
      </w:r>
      <w:proofErr w:type="spellStart"/>
      <w:r w:rsidRPr="005F6A16">
        <w:rPr>
          <w:rFonts w:eastAsia="Calibri"/>
          <w:szCs w:val="24"/>
          <w:lang w:val="id-ID"/>
        </w:rPr>
        <w:t>and</w:t>
      </w:r>
      <w:proofErr w:type="spellEnd"/>
      <w:r w:rsidRPr="005F6A16">
        <w:rPr>
          <w:rFonts w:eastAsia="Calibri"/>
          <w:szCs w:val="24"/>
          <w:lang w:val="id-ID"/>
        </w:rPr>
        <w:t xml:space="preserve"> </w:t>
      </w:r>
      <w:proofErr w:type="spellStart"/>
      <w:r w:rsidRPr="005F6A16">
        <w:rPr>
          <w:rFonts w:eastAsia="Calibri"/>
          <w:szCs w:val="24"/>
          <w:lang w:val="id-ID"/>
        </w:rPr>
        <w:t>the</w:t>
      </w:r>
      <w:proofErr w:type="spellEnd"/>
      <w:r w:rsidRPr="005F6A16">
        <w:rPr>
          <w:rFonts w:eastAsia="Calibri"/>
          <w:szCs w:val="24"/>
          <w:lang w:val="id-ID"/>
        </w:rPr>
        <w:t xml:space="preserve"> median </w:t>
      </w:r>
      <w:proofErr w:type="spellStart"/>
      <w:r w:rsidRPr="005F6A16">
        <w:rPr>
          <w:rFonts w:eastAsia="Calibri"/>
          <w:szCs w:val="24"/>
          <w:lang w:val="id-ID"/>
        </w:rPr>
        <w:t>value</w:t>
      </w:r>
      <w:proofErr w:type="spellEnd"/>
      <w:r w:rsidRPr="005F6A16">
        <w:rPr>
          <w:rFonts w:eastAsia="Calibri"/>
          <w:szCs w:val="24"/>
          <w:lang w:val="id-ID"/>
        </w:rPr>
        <w:t xml:space="preserve"> </w:t>
      </w:r>
      <w:proofErr w:type="spellStart"/>
      <w:r w:rsidRPr="005F6A16">
        <w:rPr>
          <w:rFonts w:eastAsia="Calibri"/>
          <w:szCs w:val="24"/>
          <w:lang w:val="id-ID"/>
        </w:rPr>
        <w:t>is</w:t>
      </w:r>
      <w:proofErr w:type="spellEnd"/>
      <w:r w:rsidRPr="005F6A16">
        <w:rPr>
          <w:rFonts w:eastAsia="Calibri"/>
          <w:szCs w:val="24"/>
          <w:lang w:val="id-ID"/>
        </w:rPr>
        <w:t xml:space="preserve"> 3,220.</w:t>
      </w:r>
    </w:p>
    <w:p w14:paraId="2A10D58B" w14:textId="5A3B3B2A" w:rsidR="006E7EB3" w:rsidRDefault="006E7EB3" w:rsidP="005F6A16">
      <w:pPr>
        <w:pStyle w:val="ListParagraph"/>
        <w:ind w:left="360"/>
        <w:jc w:val="both"/>
        <w:rPr>
          <w:rFonts w:eastAsia="Calibri"/>
          <w:szCs w:val="24"/>
          <w:lang w:val="id-ID"/>
        </w:rPr>
      </w:pPr>
    </w:p>
    <w:p w14:paraId="2D599FA3" w14:textId="624E00D6" w:rsidR="006E7EB3" w:rsidRDefault="006E7EB3" w:rsidP="005F6A16">
      <w:pPr>
        <w:pStyle w:val="ListParagraph"/>
        <w:ind w:left="360"/>
        <w:jc w:val="both"/>
        <w:rPr>
          <w:rFonts w:eastAsia="Calibri"/>
          <w:szCs w:val="24"/>
          <w:lang w:val="id-ID"/>
        </w:rPr>
      </w:pPr>
    </w:p>
    <w:p w14:paraId="6582FCAA" w14:textId="77777777" w:rsidR="006E7EB3" w:rsidRPr="005F6A16" w:rsidRDefault="006E7EB3" w:rsidP="005F6A16">
      <w:pPr>
        <w:pStyle w:val="ListParagraph"/>
        <w:ind w:left="360"/>
        <w:jc w:val="both"/>
        <w:rPr>
          <w:rFonts w:eastAsia="Calibri"/>
          <w:szCs w:val="24"/>
          <w:lang w:val="id-ID"/>
        </w:rPr>
      </w:pPr>
    </w:p>
    <w:p w14:paraId="17CC6460" w14:textId="082A6371" w:rsidR="006E7EB3" w:rsidRDefault="006E7EB3" w:rsidP="006E7EB3">
      <w:pPr>
        <w:jc w:val="both"/>
        <w:rPr>
          <w:b/>
          <w:bCs/>
          <w:szCs w:val="24"/>
        </w:rPr>
      </w:pPr>
      <w:r>
        <w:rPr>
          <w:b/>
          <w:bCs/>
          <w:szCs w:val="24"/>
        </w:rPr>
        <w:lastRenderedPageBreak/>
        <w:t xml:space="preserve">3.1.2. </w:t>
      </w:r>
      <w:r w:rsidR="005F6A16" w:rsidRPr="006E7EB3">
        <w:rPr>
          <w:b/>
          <w:bCs/>
          <w:szCs w:val="24"/>
        </w:rPr>
        <w:t>Partial Least Square Test</w:t>
      </w:r>
    </w:p>
    <w:p w14:paraId="5D35A9EF" w14:textId="6EC52564" w:rsidR="005D0CB5" w:rsidRDefault="005D0CB5" w:rsidP="006E7EB3">
      <w:pPr>
        <w:jc w:val="both"/>
        <w:rPr>
          <w:b/>
          <w:bCs/>
          <w:szCs w:val="24"/>
        </w:rPr>
      </w:pPr>
    </w:p>
    <w:p w14:paraId="1C3858ED" w14:textId="0136FC78" w:rsidR="005D0CB5" w:rsidRPr="001E1874" w:rsidRDefault="005D0CB5" w:rsidP="005D0CB5">
      <w:pPr>
        <w:ind w:left="2160" w:firstLine="720"/>
        <w:jc w:val="both"/>
        <w:rPr>
          <w:szCs w:val="24"/>
        </w:rPr>
      </w:pPr>
      <w:r w:rsidRPr="001E1874">
        <w:rPr>
          <w:szCs w:val="24"/>
        </w:rPr>
        <w:t>Table 2. Construct Validity and Reality</w:t>
      </w:r>
    </w:p>
    <w:tbl>
      <w:tblPr>
        <w:tblStyle w:val="TableGrid"/>
        <w:tblW w:w="8224" w:type="dxa"/>
        <w:tblInd w:w="5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1117"/>
        <w:gridCol w:w="838"/>
        <w:gridCol w:w="1117"/>
        <w:gridCol w:w="922"/>
      </w:tblGrid>
      <w:tr w:rsidR="005D0CB5" w:rsidRPr="00C6799E" w14:paraId="6BB9025C" w14:textId="77777777" w:rsidTr="00A12505">
        <w:trPr>
          <w:trHeight w:val="436"/>
        </w:trPr>
        <w:tc>
          <w:tcPr>
            <w:tcW w:w="4230" w:type="dxa"/>
            <w:tcBorders>
              <w:top w:val="single" w:sz="4" w:space="0" w:color="auto"/>
              <w:bottom w:val="single" w:sz="4" w:space="0" w:color="auto"/>
            </w:tcBorders>
            <w:vAlign w:val="center"/>
          </w:tcPr>
          <w:p w14:paraId="3EE7EB6E" w14:textId="77777777" w:rsidR="005D0CB5" w:rsidRPr="00C6799E" w:rsidRDefault="005D0CB5" w:rsidP="00A12505">
            <w:pPr>
              <w:spacing w:line="276" w:lineRule="auto"/>
              <w:rPr>
                <w:rFonts w:asciiTheme="majorBidi" w:hAnsiTheme="majorBidi" w:cstheme="majorBidi"/>
              </w:rPr>
            </w:pPr>
            <w:proofErr w:type="spellStart"/>
            <w:r w:rsidRPr="00C6799E">
              <w:rPr>
                <w:rFonts w:asciiTheme="majorBidi" w:hAnsiTheme="majorBidi" w:cstheme="majorBidi"/>
              </w:rPr>
              <w:t>Variabel</w:t>
            </w:r>
            <w:proofErr w:type="spellEnd"/>
          </w:p>
        </w:tc>
        <w:tc>
          <w:tcPr>
            <w:tcW w:w="1117" w:type="dxa"/>
            <w:tcBorders>
              <w:top w:val="single" w:sz="4" w:space="0" w:color="auto"/>
              <w:bottom w:val="single" w:sz="4" w:space="0" w:color="auto"/>
            </w:tcBorders>
            <w:vAlign w:val="center"/>
            <w:hideMark/>
          </w:tcPr>
          <w:p w14:paraId="623F9E52"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Cronbach Alpha</w:t>
            </w:r>
          </w:p>
        </w:tc>
        <w:tc>
          <w:tcPr>
            <w:tcW w:w="838" w:type="dxa"/>
            <w:tcBorders>
              <w:top w:val="single" w:sz="4" w:space="0" w:color="auto"/>
              <w:bottom w:val="single" w:sz="4" w:space="0" w:color="auto"/>
            </w:tcBorders>
            <w:vAlign w:val="center"/>
          </w:tcPr>
          <w:p w14:paraId="3DA994F1" w14:textId="77777777" w:rsidR="005D0CB5" w:rsidRPr="00C6799E" w:rsidRDefault="005D0CB5" w:rsidP="00A12505">
            <w:pPr>
              <w:spacing w:line="276" w:lineRule="auto"/>
              <w:jc w:val="center"/>
              <w:rPr>
                <w:rFonts w:asciiTheme="majorBidi" w:hAnsiTheme="majorBidi" w:cstheme="majorBidi"/>
              </w:rPr>
            </w:pPr>
            <w:proofErr w:type="spellStart"/>
            <w:r w:rsidRPr="00C6799E">
              <w:rPr>
                <w:rFonts w:asciiTheme="majorBidi" w:hAnsiTheme="majorBidi" w:cstheme="majorBidi"/>
              </w:rPr>
              <w:t>Rho_A</w:t>
            </w:r>
            <w:proofErr w:type="spellEnd"/>
          </w:p>
        </w:tc>
        <w:tc>
          <w:tcPr>
            <w:tcW w:w="1117" w:type="dxa"/>
            <w:tcBorders>
              <w:top w:val="single" w:sz="4" w:space="0" w:color="auto"/>
              <w:bottom w:val="single" w:sz="4" w:space="0" w:color="auto"/>
            </w:tcBorders>
            <w:vAlign w:val="center"/>
          </w:tcPr>
          <w:p w14:paraId="2DC3C3A2" w14:textId="77777777" w:rsidR="005D0CB5" w:rsidRPr="00C6799E" w:rsidRDefault="005D0CB5" w:rsidP="00A12505">
            <w:pPr>
              <w:spacing w:line="276" w:lineRule="auto"/>
              <w:jc w:val="center"/>
              <w:rPr>
                <w:rFonts w:asciiTheme="majorBidi" w:hAnsiTheme="majorBidi" w:cstheme="majorBidi"/>
              </w:rPr>
            </w:pPr>
            <w:proofErr w:type="spellStart"/>
            <w:r w:rsidRPr="00C6799E">
              <w:rPr>
                <w:rFonts w:asciiTheme="majorBidi" w:hAnsiTheme="majorBidi" w:cstheme="majorBidi"/>
              </w:rPr>
              <w:t>Reabilitas</w:t>
            </w:r>
            <w:proofErr w:type="spellEnd"/>
            <w:r w:rsidRPr="00C6799E">
              <w:rPr>
                <w:rFonts w:asciiTheme="majorBidi" w:hAnsiTheme="majorBidi" w:cstheme="majorBidi"/>
              </w:rPr>
              <w:t xml:space="preserve"> </w:t>
            </w:r>
            <w:proofErr w:type="spellStart"/>
            <w:r w:rsidRPr="00C6799E">
              <w:rPr>
                <w:rFonts w:asciiTheme="majorBidi" w:hAnsiTheme="majorBidi" w:cstheme="majorBidi"/>
              </w:rPr>
              <w:t>Komposit</w:t>
            </w:r>
            <w:proofErr w:type="spellEnd"/>
          </w:p>
        </w:tc>
        <w:tc>
          <w:tcPr>
            <w:tcW w:w="922" w:type="dxa"/>
            <w:tcBorders>
              <w:top w:val="single" w:sz="4" w:space="0" w:color="auto"/>
              <w:bottom w:val="single" w:sz="4" w:space="0" w:color="auto"/>
            </w:tcBorders>
            <w:vAlign w:val="center"/>
          </w:tcPr>
          <w:p w14:paraId="4A34EEC6"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AVE</w:t>
            </w:r>
          </w:p>
        </w:tc>
      </w:tr>
      <w:tr w:rsidR="005D0CB5" w:rsidRPr="00C6799E" w14:paraId="23306AD1" w14:textId="77777777" w:rsidTr="00A12505">
        <w:trPr>
          <w:trHeight w:val="16"/>
        </w:trPr>
        <w:tc>
          <w:tcPr>
            <w:tcW w:w="4230" w:type="dxa"/>
            <w:tcBorders>
              <w:top w:val="single" w:sz="4" w:space="0" w:color="auto"/>
            </w:tcBorders>
            <w:vAlign w:val="center"/>
            <w:hideMark/>
          </w:tcPr>
          <w:p w14:paraId="339C7ADC" w14:textId="77777777" w:rsidR="005D0CB5" w:rsidRPr="00C6799E" w:rsidRDefault="005D0CB5" w:rsidP="00A12505">
            <w:pPr>
              <w:spacing w:line="276" w:lineRule="auto"/>
              <w:rPr>
                <w:rFonts w:asciiTheme="majorBidi" w:hAnsiTheme="majorBidi" w:cstheme="majorBidi"/>
              </w:rPr>
            </w:pPr>
            <w:r w:rsidRPr="00C6799E">
              <w:rPr>
                <w:rFonts w:asciiTheme="majorBidi" w:hAnsiTheme="majorBidi" w:cstheme="majorBidi"/>
              </w:rPr>
              <w:t>LDER</w:t>
            </w:r>
            <w:r>
              <w:rPr>
                <w:rFonts w:asciiTheme="majorBidi" w:hAnsiTheme="majorBidi" w:cstheme="majorBidi"/>
              </w:rPr>
              <w:t xml:space="preserve">, </w:t>
            </w:r>
            <w:proofErr w:type="spellStart"/>
            <w:r>
              <w:rPr>
                <w:rFonts w:asciiTheme="majorBidi" w:hAnsiTheme="majorBidi" w:cstheme="majorBidi"/>
              </w:rPr>
              <w:t>Inflasi</w:t>
            </w:r>
            <w:proofErr w:type="spellEnd"/>
            <w:r>
              <w:rPr>
                <w:rFonts w:asciiTheme="majorBidi" w:hAnsiTheme="majorBidi" w:cstheme="majorBidi"/>
              </w:rPr>
              <w:t xml:space="preserve">, Nilai </w:t>
            </w:r>
            <w:proofErr w:type="spellStart"/>
            <w:r>
              <w:rPr>
                <w:rFonts w:asciiTheme="majorBidi" w:hAnsiTheme="majorBidi" w:cstheme="majorBidi"/>
              </w:rPr>
              <w:t>Tukar</w:t>
            </w:r>
            <w:proofErr w:type="spellEnd"/>
            <w:r>
              <w:rPr>
                <w:rFonts w:asciiTheme="majorBidi" w:hAnsiTheme="majorBidi" w:cstheme="majorBidi"/>
              </w:rPr>
              <w:t xml:space="preserve">, PDB, ROA, </w:t>
            </w:r>
            <w:proofErr w:type="spellStart"/>
            <w:r>
              <w:rPr>
                <w:rFonts w:asciiTheme="majorBidi" w:hAnsiTheme="majorBidi" w:cstheme="majorBidi"/>
              </w:rPr>
              <w:t>Tobin’Q</w:t>
            </w:r>
            <w:proofErr w:type="spellEnd"/>
          </w:p>
        </w:tc>
        <w:tc>
          <w:tcPr>
            <w:tcW w:w="1117" w:type="dxa"/>
            <w:tcBorders>
              <w:top w:val="single" w:sz="4" w:space="0" w:color="auto"/>
            </w:tcBorders>
            <w:vAlign w:val="center"/>
            <w:hideMark/>
          </w:tcPr>
          <w:p w14:paraId="15221215"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838" w:type="dxa"/>
            <w:tcBorders>
              <w:top w:val="single" w:sz="4" w:space="0" w:color="auto"/>
            </w:tcBorders>
            <w:vAlign w:val="center"/>
          </w:tcPr>
          <w:p w14:paraId="571C6008"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1117" w:type="dxa"/>
            <w:tcBorders>
              <w:top w:val="single" w:sz="4" w:space="0" w:color="auto"/>
            </w:tcBorders>
            <w:vAlign w:val="center"/>
          </w:tcPr>
          <w:p w14:paraId="769CF9C8"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922" w:type="dxa"/>
            <w:tcBorders>
              <w:top w:val="single" w:sz="4" w:space="0" w:color="auto"/>
            </w:tcBorders>
            <w:vAlign w:val="center"/>
          </w:tcPr>
          <w:p w14:paraId="7F27568D"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r>
      <w:tr w:rsidR="005D0CB5" w:rsidRPr="00C6799E" w14:paraId="23B78E0A" w14:textId="77777777" w:rsidTr="00A12505">
        <w:trPr>
          <w:trHeight w:val="16"/>
        </w:trPr>
        <w:tc>
          <w:tcPr>
            <w:tcW w:w="4230" w:type="dxa"/>
            <w:vAlign w:val="center"/>
            <w:hideMark/>
          </w:tcPr>
          <w:p w14:paraId="137E96B1" w14:textId="77777777" w:rsidR="005D0CB5" w:rsidRPr="00C6799E" w:rsidRDefault="005D0CB5" w:rsidP="00A12505">
            <w:pPr>
              <w:spacing w:line="276" w:lineRule="auto"/>
              <w:rPr>
                <w:rFonts w:asciiTheme="majorBidi" w:hAnsiTheme="majorBidi" w:cstheme="majorBidi"/>
              </w:rPr>
            </w:pPr>
            <w:r w:rsidRPr="00C6799E">
              <w:rPr>
                <w:rFonts w:asciiTheme="majorBidi" w:hAnsiTheme="majorBidi" w:cstheme="majorBidi"/>
              </w:rPr>
              <w:t>LDER*ROA</w:t>
            </w:r>
          </w:p>
        </w:tc>
        <w:tc>
          <w:tcPr>
            <w:tcW w:w="1117" w:type="dxa"/>
            <w:vAlign w:val="center"/>
            <w:hideMark/>
          </w:tcPr>
          <w:p w14:paraId="7A67B1B4"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838" w:type="dxa"/>
            <w:vAlign w:val="center"/>
          </w:tcPr>
          <w:p w14:paraId="77194970"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1117" w:type="dxa"/>
            <w:vAlign w:val="center"/>
          </w:tcPr>
          <w:p w14:paraId="2023420E"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922" w:type="dxa"/>
            <w:vAlign w:val="center"/>
          </w:tcPr>
          <w:p w14:paraId="03A9CA03"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r>
      <w:tr w:rsidR="005D0CB5" w:rsidRPr="00C6799E" w14:paraId="5FF4F9C1" w14:textId="77777777" w:rsidTr="00A12505">
        <w:trPr>
          <w:trHeight w:val="16"/>
        </w:trPr>
        <w:tc>
          <w:tcPr>
            <w:tcW w:w="4230" w:type="dxa"/>
            <w:vAlign w:val="center"/>
            <w:hideMark/>
          </w:tcPr>
          <w:p w14:paraId="53D0CAE8" w14:textId="77777777" w:rsidR="005D0CB5" w:rsidRPr="00C6799E" w:rsidRDefault="005D0CB5" w:rsidP="00A12505">
            <w:pPr>
              <w:spacing w:line="276" w:lineRule="auto"/>
              <w:rPr>
                <w:rFonts w:asciiTheme="majorBidi" w:hAnsiTheme="majorBidi" w:cstheme="majorBidi"/>
              </w:rPr>
            </w:pPr>
            <w:proofErr w:type="spellStart"/>
            <w:r w:rsidRPr="00C6799E">
              <w:rPr>
                <w:rFonts w:asciiTheme="majorBidi" w:hAnsiTheme="majorBidi" w:cstheme="majorBidi"/>
              </w:rPr>
              <w:t>Inflasi</w:t>
            </w:r>
            <w:proofErr w:type="spellEnd"/>
            <w:r w:rsidRPr="00C6799E">
              <w:rPr>
                <w:rFonts w:asciiTheme="majorBidi" w:hAnsiTheme="majorBidi" w:cstheme="majorBidi"/>
              </w:rPr>
              <w:t>*ROA</w:t>
            </w:r>
          </w:p>
        </w:tc>
        <w:tc>
          <w:tcPr>
            <w:tcW w:w="1117" w:type="dxa"/>
            <w:vAlign w:val="center"/>
            <w:hideMark/>
          </w:tcPr>
          <w:p w14:paraId="0C0505BE"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838" w:type="dxa"/>
            <w:vAlign w:val="center"/>
          </w:tcPr>
          <w:p w14:paraId="37BA0D3C"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1117" w:type="dxa"/>
            <w:vAlign w:val="center"/>
          </w:tcPr>
          <w:p w14:paraId="779A8E03"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922" w:type="dxa"/>
            <w:vAlign w:val="center"/>
          </w:tcPr>
          <w:p w14:paraId="7F46F369"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r>
      <w:tr w:rsidR="005D0CB5" w:rsidRPr="00C6799E" w14:paraId="04BBDB14" w14:textId="77777777" w:rsidTr="00A12505">
        <w:trPr>
          <w:trHeight w:val="16"/>
        </w:trPr>
        <w:tc>
          <w:tcPr>
            <w:tcW w:w="4230" w:type="dxa"/>
            <w:vAlign w:val="center"/>
            <w:hideMark/>
          </w:tcPr>
          <w:p w14:paraId="541E4FA2" w14:textId="77777777" w:rsidR="005D0CB5" w:rsidRPr="00C6799E" w:rsidRDefault="005D0CB5" w:rsidP="00A12505">
            <w:pPr>
              <w:spacing w:line="276" w:lineRule="auto"/>
              <w:rPr>
                <w:rFonts w:asciiTheme="majorBidi" w:hAnsiTheme="majorBidi" w:cstheme="majorBidi"/>
              </w:rPr>
            </w:pPr>
            <w:r w:rsidRPr="00C6799E">
              <w:rPr>
                <w:rFonts w:asciiTheme="majorBidi" w:hAnsiTheme="majorBidi" w:cstheme="majorBidi"/>
              </w:rPr>
              <w:t xml:space="preserve">Nilai </w:t>
            </w:r>
            <w:proofErr w:type="spellStart"/>
            <w:r w:rsidRPr="00C6799E">
              <w:rPr>
                <w:rFonts w:asciiTheme="majorBidi" w:hAnsiTheme="majorBidi" w:cstheme="majorBidi"/>
              </w:rPr>
              <w:t>Tukar</w:t>
            </w:r>
            <w:proofErr w:type="spellEnd"/>
            <w:r w:rsidRPr="00C6799E">
              <w:rPr>
                <w:rFonts w:asciiTheme="majorBidi" w:hAnsiTheme="majorBidi" w:cstheme="majorBidi"/>
              </w:rPr>
              <w:t>*ROA</w:t>
            </w:r>
          </w:p>
        </w:tc>
        <w:tc>
          <w:tcPr>
            <w:tcW w:w="1117" w:type="dxa"/>
            <w:vAlign w:val="center"/>
            <w:hideMark/>
          </w:tcPr>
          <w:p w14:paraId="29E1D09F"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838" w:type="dxa"/>
            <w:vAlign w:val="center"/>
          </w:tcPr>
          <w:p w14:paraId="570D2446"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1117" w:type="dxa"/>
            <w:vAlign w:val="center"/>
          </w:tcPr>
          <w:p w14:paraId="2E357A55"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922" w:type="dxa"/>
            <w:vAlign w:val="center"/>
          </w:tcPr>
          <w:p w14:paraId="54A2CDBE"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r>
      <w:tr w:rsidR="005D0CB5" w:rsidRPr="00C6799E" w14:paraId="5712E042" w14:textId="77777777" w:rsidTr="00A12505">
        <w:trPr>
          <w:trHeight w:val="16"/>
        </w:trPr>
        <w:tc>
          <w:tcPr>
            <w:tcW w:w="4230" w:type="dxa"/>
            <w:vAlign w:val="center"/>
            <w:hideMark/>
          </w:tcPr>
          <w:p w14:paraId="35D034B4" w14:textId="77777777" w:rsidR="005D0CB5" w:rsidRPr="00C6799E" w:rsidRDefault="005D0CB5" w:rsidP="00A12505">
            <w:pPr>
              <w:spacing w:line="276" w:lineRule="auto"/>
              <w:rPr>
                <w:rFonts w:asciiTheme="majorBidi" w:hAnsiTheme="majorBidi" w:cstheme="majorBidi"/>
              </w:rPr>
            </w:pPr>
            <w:r w:rsidRPr="00C6799E">
              <w:rPr>
                <w:rFonts w:asciiTheme="majorBidi" w:hAnsiTheme="majorBidi" w:cstheme="majorBidi"/>
              </w:rPr>
              <w:t>PDB*ROA</w:t>
            </w:r>
          </w:p>
        </w:tc>
        <w:tc>
          <w:tcPr>
            <w:tcW w:w="1117" w:type="dxa"/>
            <w:vAlign w:val="center"/>
            <w:hideMark/>
          </w:tcPr>
          <w:p w14:paraId="0F82BE34"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838" w:type="dxa"/>
            <w:vAlign w:val="center"/>
          </w:tcPr>
          <w:p w14:paraId="25C77814"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1117" w:type="dxa"/>
            <w:vAlign w:val="center"/>
          </w:tcPr>
          <w:p w14:paraId="70567107"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c>
          <w:tcPr>
            <w:tcW w:w="922" w:type="dxa"/>
            <w:vAlign w:val="center"/>
          </w:tcPr>
          <w:p w14:paraId="3F3B0A9C" w14:textId="77777777" w:rsidR="005D0CB5" w:rsidRPr="00C6799E" w:rsidRDefault="005D0CB5" w:rsidP="00A12505">
            <w:pPr>
              <w:spacing w:line="276" w:lineRule="auto"/>
              <w:jc w:val="center"/>
              <w:rPr>
                <w:rFonts w:asciiTheme="majorBidi" w:hAnsiTheme="majorBidi" w:cstheme="majorBidi"/>
              </w:rPr>
            </w:pPr>
            <w:r w:rsidRPr="00C6799E">
              <w:rPr>
                <w:rFonts w:asciiTheme="majorBidi" w:hAnsiTheme="majorBidi" w:cstheme="majorBidi"/>
              </w:rPr>
              <w:t>1,000</w:t>
            </w:r>
          </w:p>
        </w:tc>
      </w:tr>
    </w:tbl>
    <w:p w14:paraId="3D47A309" w14:textId="77777777" w:rsidR="005D0CB5" w:rsidRDefault="005D0CB5" w:rsidP="004B7814">
      <w:pPr>
        <w:spacing w:after="240"/>
        <w:jc w:val="both"/>
        <w:rPr>
          <w:szCs w:val="24"/>
        </w:rPr>
      </w:pPr>
    </w:p>
    <w:p w14:paraId="78F430C9" w14:textId="2FF74CBC" w:rsidR="005F6A16" w:rsidRDefault="005D0CB5" w:rsidP="004B7814">
      <w:pPr>
        <w:spacing w:after="240"/>
        <w:jc w:val="both"/>
        <w:rPr>
          <w:szCs w:val="24"/>
        </w:rPr>
      </w:pPr>
      <w:r w:rsidRPr="005D0CB5">
        <w:rPr>
          <w:szCs w:val="24"/>
        </w:rPr>
        <w:t>Based on the table above, it can be concluded that firm value, capital structure, inflation, exchange rate, gross domestic product and financial performance have good validity and reliability. This can be shown by the value of composite reliability and Cronbach's alpha which has a value of 1,000 which indicates that all exogenous and endogenous constructs are very reliable because they have a value above 0.70 and an AVE value of 0.50.</w:t>
      </w:r>
    </w:p>
    <w:p w14:paraId="6C3075BB" w14:textId="1EE294E0" w:rsidR="005F6A16" w:rsidRDefault="00840DC7" w:rsidP="00840DC7">
      <w:pPr>
        <w:widowControl w:val="0"/>
        <w:autoSpaceDE w:val="0"/>
        <w:autoSpaceDN w:val="0"/>
        <w:jc w:val="both"/>
        <w:rPr>
          <w:b/>
          <w:bCs/>
          <w:szCs w:val="24"/>
          <w:lang w:val="id-ID"/>
        </w:rPr>
      </w:pPr>
      <w:r>
        <w:rPr>
          <w:b/>
          <w:bCs/>
          <w:szCs w:val="24"/>
        </w:rPr>
        <w:t xml:space="preserve">3.1.3. </w:t>
      </w:r>
      <w:r w:rsidRPr="0022768C">
        <w:rPr>
          <w:b/>
          <w:bCs/>
          <w:szCs w:val="24"/>
          <w:lang w:val="id-ID"/>
        </w:rPr>
        <w:t xml:space="preserve">Model </w:t>
      </w:r>
      <w:proofErr w:type="spellStart"/>
      <w:r w:rsidRPr="0022768C">
        <w:rPr>
          <w:b/>
          <w:bCs/>
          <w:szCs w:val="24"/>
          <w:lang w:val="id-ID"/>
        </w:rPr>
        <w:t>Strukturtal</w:t>
      </w:r>
      <w:proofErr w:type="spellEnd"/>
      <w:r w:rsidRPr="0022768C">
        <w:rPr>
          <w:b/>
          <w:bCs/>
          <w:szCs w:val="24"/>
          <w:lang w:val="id-ID"/>
        </w:rPr>
        <w:t xml:space="preserve"> (</w:t>
      </w:r>
      <w:proofErr w:type="spellStart"/>
      <w:r w:rsidRPr="0022768C">
        <w:rPr>
          <w:b/>
          <w:bCs/>
          <w:szCs w:val="24"/>
          <w:lang w:val="id-ID"/>
        </w:rPr>
        <w:t>inner</w:t>
      </w:r>
      <w:proofErr w:type="spellEnd"/>
      <w:r w:rsidRPr="0022768C">
        <w:rPr>
          <w:b/>
          <w:bCs/>
          <w:szCs w:val="24"/>
          <w:lang w:val="id-ID"/>
        </w:rPr>
        <w:t xml:space="preserve"> model)</w:t>
      </w:r>
    </w:p>
    <w:p w14:paraId="6C63EA38" w14:textId="42244C9A" w:rsidR="00840DC7" w:rsidRDefault="00840DC7" w:rsidP="00840DC7">
      <w:pPr>
        <w:widowControl w:val="0"/>
        <w:autoSpaceDE w:val="0"/>
        <w:autoSpaceDN w:val="0"/>
        <w:jc w:val="both"/>
        <w:rPr>
          <w:b/>
          <w:bCs/>
          <w:szCs w:val="24"/>
          <w:lang w:val="id-ID"/>
        </w:rPr>
      </w:pPr>
    </w:p>
    <w:p w14:paraId="0FC65F22" w14:textId="059B7E06" w:rsidR="00840DC7" w:rsidRDefault="00840DC7" w:rsidP="00840DC7">
      <w:pPr>
        <w:widowControl w:val="0"/>
        <w:autoSpaceDE w:val="0"/>
        <w:autoSpaceDN w:val="0"/>
        <w:jc w:val="both"/>
        <w:rPr>
          <w:b/>
          <w:bCs/>
          <w:szCs w:val="24"/>
          <w:lang w:val="id-ID"/>
        </w:rPr>
      </w:pPr>
      <w:r w:rsidRPr="00C35947">
        <w:rPr>
          <w:noProof/>
        </w:rPr>
        <w:drawing>
          <wp:anchor distT="0" distB="0" distL="114300" distR="114300" simplePos="0" relativeHeight="251660288" behindDoc="0" locked="0" layoutInCell="1" allowOverlap="1" wp14:anchorId="12E37B92" wp14:editId="2DAEE5F7">
            <wp:simplePos x="0" y="0"/>
            <wp:positionH relativeFrom="column">
              <wp:posOffset>572770</wp:posOffset>
            </wp:positionH>
            <wp:positionV relativeFrom="paragraph">
              <wp:posOffset>29845</wp:posOffset>
            </wp:positionV>
            <wp:extent cx="4941241" cy="2603500"/>
            <wp:effectExtent l="0" t="0" r="0" b="0"/>
            <wp:wrapNone/>
            <wp:docPr id="3" name="Gambar 3" descr="Booth"/>
            <wp:cNvGraphicFramePr/>
            <a:graphic xmlns:a="http://schemas.openxmlformats.org/drawingml/2006/main">
              <a:graphicData uri="http://schemas.openxmlformats.org/drawingml/2006/picture">
                <pic:pic xmlns:pic="http://schemas.openxmlformats.org/drawingml/2006/picture">
                  <pic:nvPicPr>
                    <pic:cNvPr id="3" name="Gambar 3" descr="Boot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6117" cy="2611338"/>
                    </a:xfrm>
                    <a:prstGeom prst="rect">
                      <a:avLst/>
                    </a:prstGeom>
                  </pic:spPr>
                </pic:pic>
              </a:graphicData>
            </a:graphic>
            <wp14:sizeRelH relativeFrom="page">
              <wp14:pctWidth>0</wp14:pctWidth>
            </wp14:sizeRelH>
            <wp14:sizeRelV relativeFrom="page">
              <wp14:pctHeight>0</wp14:pctHeight>
            </wp14:sizeRelV>
          </wp:anchor>
        </w:drawing>
      </w:r>
    </w:p>
    <w:p w14:paraId="4A3232D9" w14:textId="3D251F69" w:rsidR="00840DC7" w:rsidRDefault="00840DC7" w:rsidP="00840DC7">
      <w:pPr>
        <w:widowControl w:val="0"/>
        <w:autoSpaceDE w:val="0"/>
        <w:autoSpaceDN w:val="0"/>
        <w:jc w:val="both"/>
        <w:rPr>
          <w:b/>
          <w:bCs/>
          <w:szCs w:val="24"/>
          <w:lang w:val="id-ID"/>
        </w:rPr>
      </w:pPr>
    </w:p>
    <w:p w14:paraId="512535EE" w14:textId="1B92C5D4" w:rsidR="00840DC7" w:rsidRDefault="00840DC7" w:rsidP="00840DC7">
      <w:pPr>
        <w:widowControl w:val="0"/>
        <w:autoSpaceDE w:val="0"/>
        <w:autoSpaceDN w:val="0"/>
        <w:jc w:val="both"/>
        <w:rPr>
          <w:b/>
          <w:bCs/>
          <w:szCs w:val="24"/>
          <w:lang w:val="id-ID"/>
        </w:rPr>
      </w:pPr>
    </w:p>
    <w:p w14:paraId="68BC0BBD" w14:textId="111B3492" w:rsidR="00840DC7" w:rsidRDefault="00840DC7" w:rsidP="00840DC7">
      <w:pPr>
        <w:widowControl w:val="0"/>
        <w:autoSpaceDE w:val="0"/>
        <w:autoSpaceDN w:val="0"/>
        <w:jc w:val="both"/>
        <w:rPr>
          <w:b/>
          <w:bCs/>
          <w:szCs w:val="24"/>
          <w:lang w:val="id-ID"/>
        </w:rPr>
      </w:pPr>
    </w:p>
    <w:p w14:paraId="5BBC6F86" w14:textId="670F4124" w:rsidR="00840DC7" w:rsidRDefault="00840DC7" w:rsidP="00840DC7">
      <w:pPr>
        <w:widowControl w:val="0"/>
        <w:autoSpaceDE w:val="0"/>
        <w:autoSpaceDN w:val="0"/>
        <w:jc w:val="both"/>
        <w:rPr>
          <w:b/>
          <w:bCs/>
          <w:szCs w:val="24"/>
          <w:lang w:val="id-ID"/>
        </w:rPr>
      </w:pPr>
    </w:p>
    <w:p w14:paraId="4F42FDA2" w14:textId="58091DD8" w:rsidR="00840DC7" w:rsidRDefault="00840DC7" w:rsidP="00840DC7">
      <w:pPr>
        <w:widowControl w:val="0"/>
        <w:autoSpaceDE w:val="0"/>
        <w:autoSpaceDN w:val="0"/>
        <w:jc w:val="both"/>
        <w:rPr>
          <w:b/>
          <w:bCs/>
          <w:szCs w:val="24"/>
          <w:lang w:val="id-ID"/>
        </w:rPr>
      </w:pPr>
    </w:p>
    <w:p w14:paraId="70CADA2E" w14:textId="31211A70" w:rsidR="00840DC7" w:rsidRDefault="00840DC7" w:rsidP="00840DC7">
      <w:pPr>
        <w:widowControl w:val="0"/>
        <w:autoSpaceDE w:val="0"/>
        <w:autoSpaceDN w:val="0"/>
        <w:jc w:val="both"/>
        <w:rPr>
          <w:b/>
          <w:bCs/>
          <w:szCs w:val="24"/>
          <w:lang w:val="id-ID"/>
        </w:rPr>
      </w:pPr>
    </w:p>
    <w:p w14:paraId="5DFFFAC0" w14:textId="40437D34" w:rsidR="00840DC7" w:rsidRDefault="00840DC7" w:rsidP="00840DC7">
      <w:pPr>
        <w:widowControl w:val="0"/>
        <w:autoSpaceDE w:val="0"/>
        <w:autoSpaceDN w:val="0"/>
        <w:jc w:val="both"/>
        <w:rPr>
          <w:b/>
          <w:bCs/>
          <w:szCs w:val="24"/>
          <w:lang w:val="id-ID"/>
        </w:rPr>
      </w:pPr>
    </w:p>
    <w:p w14:paraId="78270B7B" w14:textId="0CF0547D" w:rsidR="00840DC7" w:rsidRDefault="00840DC7" w:rsidP="00840DC7">
      <w:pPr>
        <w:widowControl w:val="0"/>
        <w:autoSpaceDE w:val="0"/>
        <w:autoSpaceDN w:val="0"/>
        <w:jc w:val="both"/>
        <w:rPr>
          <w:b/>
          <w:bCs/>
          <w:szCs w:val="24"/>
          <w:lang w:val="id-ID"/>
        </w:rPr>
      </w:pPr>
    </w:p>
    <w:p w14:paraId="7AE5FAFA" w14:textId="63DA322B" w:rsidR="00840DC7" w:rsidRDefault="00840DC7" w:rsidP="00840DC7">
      <w:pPr>
        <w:widowControl w:val="0"/>
        <w:autoSpaceDE w:val="0"/>
        <w:autoSpaceDN w:val="0"/>
        <w:jc w:val="both"/>
        <w:rPr>
          <w:b/>
          <w:bCs/>
          <w:szCs w:val="24"/>
          <w:lang w:val="id-ID"/>
        </w:rPr>
      </w:pPr>
    </w:p>
    <w:p w14:paraId="44C38472" w14:textId="1BBCE7AD" w:rsidR="00840DC7" w:rsidRDefault="00840DC7" w:rsidP="00840DC7">
      <w:pPr>
        <w:widowControl w:val="0"/>
        <w:autoSpaceDE w:val="0"/>
        <w:autoSpaceDN w:val="0"/>
        <w:jc w:val="both"/>
        <w:rPr>
          <w:b/>
          <w:bCs/>
          <w:szCs w:val="24"/>
          <w:lang w:val="id-ID"/>
        </w:rPr>
      </w:pPr>
    </w:p>
    <w:p w14:paraId="39109EA8" w14:textId="4DA35F75" w:rsidR="00840DC7" w:rsidRDefault="00840DC7" w:rsidP="00840DC7">
      <w:pPr>
        <w:widowControl w:val="0"/>
        <w:autoSpaceDE w:val="0"/>
        <w:autoSpaceDN w:val="0"/>
        <w:jc w:val="both"/>
        <w:rPr>
          <w:b/>
          <w:bCs/>
          <w:szCs w:val="24"/>
          <w:lang w:val="id-ID"/>
        </w:rPr>
      </w:pPr>
    </w:p>
    <w:p w14:paraId="0F91EFD6" w14:textId="6CAAA088" w:rsidR="00840DC7" w:rsidRDefault="00840DC7" w:rsidP="00840DC7">
      <w:pPr>
        <w:widowControl w:val="0"/>
        <w:autoSpaceDE w:val="0"/>
        <w:autoSpaceDN w:val="0"/>
        <w:jc w:val="both"/>
        <w:rPr>
          <w:b/>
          <w:bCs/>
          <w:szCs w:val="24"/>
          <w:lang w:val="id-ID"/>
        </w:rPr>
      </w:pPr>
    </w:p>
    <w:p w14:paraId="68DD7FA9" w14:textId="147752C9" w:rsidR="00840DC7" w:rsidRDefault="00840DC7" w:rsidP="00840DC7">
      <w:pPr>
        <w:widowControl w:val="0"/>
        <w:autoSpaceDE w:val="0"/>
        <w:autoSpaceDN w:val="0"/>
        <w:jc w:val="both"/>
        <w:rPr>
          <w:b/>
          <w:bCs/>
          <w:szCs w:val="24"/>
          <w:lang w:val="id-ID"/>
        </w:rPr>
      </w:pPr>
    </w:p>
    <w:p w14:paraId="40AF9B12" w14:textId="2BDCE844" w:rsidR="00840DC7" w:rsidRDefault="00840DC7" w:rsidP="00840DC7">
      <w:pPr>
        <w:widowControl w:val="0"/>
        <w:autoSpaceDE w:val="0"/>
        <w:autoSpaceDN w:val="0"/>
        <w:jc w:val="both"/>
        <w:rPr>
          <w:b/>
          <w:bCs/>
          <w:szCs w:val="24"/>
          <w:lang w:val="id-ID"/>
        </w:rPr>
      </w:pPr>
    </w:p>
    <w:p w14:paraId="54C753AA" w14:textId="2822A81D" w:rsidR="00840DC7" w:rsidRDefault="00840DC7" w:rsidP="00840DC7">
      <w:pPr>
        <w:widowControl w:val="0"/>
        <w:autoSpaceDE w:val="0"/>
        <w:autoSpaceDN w:val="0"/>
        <w:jc w:val="both"/>
        <w:rPr>
          <w:b/>
          <w:bCs/>
          <w:szCs w:val="24"/>
          <w:lang w:val="id-ID"/>
        </w:rPr>
      </w:pPr>
    </w:p>
    <w:p w14:paraId="549830C8" w14:textId="6D945719" w:rsidR="00840DC7" w:rsidRDefault="00840DC7" w:rsidP="00840DC7">
      <w:pPr>
        <w:widowControl w:val="0"/>
        <w:autoSpaceDE w:val="0"/>
        <w:autoSpaceDN w:val="0"/>
        <w:jc w:val="both"/>
        <w:rPr>
          <w:b/>
          <w:bCs/>
          <w:szCs w:val="24"/>
          <w:lang w:val="id-ID"/>
        </w:rPr>
      </w:pPr>
    </w:p>
    <w:p w14:paraId="6EDE503E" w14:textId="57CA63C5" w:rsidR="00840DC7" w:rsidRPr="00840DC7" w:rsidRDefault="00840DC7" w:rsidP="00840DC7">
      <w:pPr>
        <w:widowControl w:val="0"/>
        <w:autoSpaceDE w:val="0"/>
        <w:autoSpaceDN w:val="0"/>
        <w:jc w:val="both"/>
        <w:rPr>
          <w:szCs w:val="24"/>
          <w:lang w:val="id-ID"/>
        </w:rPr>
      </w:pPr>
      <w:r w:rsidRPr="00840DC7">
        <w:rPr>
          <w:szCs w:val="24"/>
          <w:lang w:val="id-ID"/>
        </w:rPr>
        <w:t xml:space="preserve">The </w:t>
      </w:r>
      <w:proofErr w:type="spellStart"/>
      <w:r w:rsidRPr="00840DC7">
        <w:rPr>
          <w:szCs w:val="24"/>
          <w:lang w:val="id-ID"/>
        </w:rPr>
        <w:t>picture</w:t>
      </w:r>
      <w:proofErr w:type="spellEnd"/>
      <w:r w:rsidRPr="00840DC7">
        <w:rPr>
          <w:szCs w:val="24"/>
          <w:lang w:val="id-ID"/>
        </w:rPr>
        <w:t xml:space="preserve"> </w:t>
      </w:r>
      <w:proofErr w:type="spellStart"/>
      <w:r w:rsidRPr="00840DC7">
        <w:rPr>
          <w:szCs w:val="24"/>
          <w:lang w:val="id-ID"/>
        </w:rPr>
        <w:t>above</w:t>
      </w:r>
      <w:proofErr w:type="spellEnd"/>
      <w:r w:rsidRPr="00840DC7">
        <w:rPr>
          <w:szCs w:val="24"/>
          <w:lang w:val="id-ID"/>
        </w:rPr>
        <w:t xml:space="preserve"> </w:t>
      </w:r>
      <w:proofErr w:type="spellStart"/>
      <w:r w:rsidRPr="00840DC7">
        <w:rPr>
          <w:szCs w:val="24"/>
          <w:lang w:val="id-ID"/>
        </w:rPr>
        <w:t>explains</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capital</w:t>
      </w:r>
      <w:proofErr w:type="spellEnd"/>
      <w:r w:rsidRPr="00840DC7">
        <w:rPr>
          <w:szCs w:val="24"/>
          <w:lang w:val="id-ID"/>
        </w:rPr>
        <w:t xml:space="preserve"> </w:t>
      </w:r>
      <w:proofErr w:type="spellStart"/>
      <w:r w:rsidRPr="00840DC7">
        <w:rPr>
          <w:szCs w:val="24"/>
          <w:lang w:val="id-ID"/>
        </w:rPr>
        <w:t>structure</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and</w:t>
      </w:r>
      <w:proofErr w:type="spellEnd"/>
      <w:r w:rsidRPr="00840DC7">
        <w:rPr>
          <w:szCs w:val="24"/>
          <w:lang w:val="id-ID"/>
        </w:rPr>
        <w:t xml:space="preserve"> </w:t>
      </w:r>
      <w:proofErr w:type="spellStart"/>
      <w:r w:rsidRPr="00840DC7">
        <w:rPr>
          <w:szCs w:val="24"/>
          <w:lang w:val="id-ID"/>
        </w:rPr>
        <w:t>inflation</w:t>
      </w:r>
      <w:proofErr w:type="spellEnd"/>
      <w:r w:rsidRPr="00840DC7">
        <w:rPr>
          <w:szCs w:val="24"/>
          <w:lang w:val="id-ID"/>
        </w:rPr>
        <w:t xml:space="preserve"> </w:t>
      </w:r>
      <w:proofErr w:type="spellStart"/>
      <w:r w:rsidRPr="00840DC7">
        <w:rPr>
          <w:szCs w:val="24"/>
          <w:lang w:val="id-ID"/>
        </w:rPr>
        <w:t>have</w:t>
      </w:r>
      <w:proofErr w:type="spellEnd"/>
      <w:r w:rsidRPr="00840DC7">
        <w:rPr>
          <w:szCs w:val="24"/>
          <w:lang w:val="id-ID"/>
        </w:rPr>
        <w:t xml:space="preserve"> </w:t>
      </w:r>
      <w:proofErr w:type="spellStart"/>
      <w:r w:rsidRPr="00840DC7">
        <w:rPr>
          <w:szCs w:val="24"/>
          <w:lang w:val="id-ID"/>
        </w:rPr>
        <w:t>no</w:t>
      </w:r>
      <w:proofErr w:type="spellEnd"/>
      <w:r w:rsidRPr="00840DC7">
        <w:rPr>
          <w:szCs w:val="24"/>
          <w:lang w:val="id-ID"/>
        </w:rPr>
        <w:t xml:space="preserve"> </w:t>
      </w:r>
      <w:proofErr w:type="spellStart"/>
      <w:r w:rsidRPr="00840DC7">
        <w:rPr>
          <w:szCs w:val="24"/>
          <w:lang w:val="id-ID"/>
        </w:rPr>
        <w:t>effect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t-</w:t>
      </w:r>
      <w:proofErr w:type="spellStart"/>
      <w:r w:rsidRPr="00840DC7">
        <w:rPr>
          <w:szCs w:val="24"/>
          <w:lang w:val="id-ID"/>
        </w:rPr>
        <w:t>statistics</w:t>
      </w:r>
      <w:proofErr w:type="spellEnd"/>
      <w:r w:rsidRPr="00840DC7">
        <w:rPr>
          <w:szCs w:val="24"/>
          <w:lang w:val="id-ID"/>
        </w:rPr>
        <w:t xml:space="preserve"> 0.664 &lt; 1.96 </w:t>
      </w:r>
      <w:proofErr w:type="spellStart"/>
      <w:r w:rsidRPr="00840DC7">
        <w:rPr>
          <w:szCs w:val="24"/>
          <w:lang w:val="id-ID"/>
        </w:rPr>
        <w:t>and</w:t>
      </w:r>
      <w:proofErr w:type="spellEnd"/>
      <w:r w:rsidRPr="00840DC7">
        <w:rPr>
          <w:szCs w:val="24"/>
          <w:lang w:val="id-ID"/>
        </w:rPr>
        <w:t xml:space="preserve"> 0.317 &lt; 1.96 </w:t>
      </w:r>
      <w:proofErr w:type="spellStart"/>
      <w:r w:rsidRPr="00840DC7">
        <w:rPr>
          <w:szCs w:val="24"/>
          <w:lang w:val="id-ID"/>
        </w:rPr>
        <w:t>so</w:t>
      </w:r>
      <w:proofErr w:type="spellEnd"/>
      <w:r w:rsidRPr="00840DC7">
        <w:rPr>
          <w:szCs w:val="24"/>
          <w:lang w:val="id-ID"/>
        </w:rPr>
        <w:t xml:space="preserve"> </w:t>
      </w:r>
      <w:proofErr w:type="spellStart"/>
      <w:r w:rsidRPr="00840DC7">
        <w:rPr>
          <w:szCs w:val="24"/>
          <w:lang w:val="id-ID"/>
        </w:rPr>
        <w:t>it</w:t>
      </w:r>
      <w:proofErr w:type="spellEnd"/>
      <w:r w:rsidRPr="00840DC7">
        <w:rPr>
          <w:szCs w:val="24"/>
          <w:lang w:val="id-ID"/>
        </w:rPr>
        <w:t xml:space="preserve">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stated</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first</w:t>
      </w:r>
      <w:proofErr w:type="spellEnd"/>
      <w:r w:rsidRPr="00840DC7">
        <w:rPr>
          <w:szCs w:val="24"/>
          <w:lang w:val="id-ID"/>
        </w:rPr>
        <w:t xml:space="preserve"> </w:t>
      </w:r>
      <w:proofErr w:type="spellStart"/>
      <w:r w:rsidRPr="00840DC7">
        <w:rPr>
          <w:szCs w:val="24"/>
          <w:lang w:val="id-ID"/>
        </w:rPr>
        <w:t>and</w:t>
      </w:r>
      <w:proofErr w:type="spellEnd"/>
      <w:r w:rsidRPr="00840DC7">
        <w:rPr>
          <w:szCs w:val="24"/>
          <w:lang w:val="id-ID"/>
        </w:rPr>
        <w:t xml:space="preserve"> </w:t>
      </w:r>
      <w:proofErr w:type="spellStart"/>
      <w:r w:rsidRPr="00840DC7">
        <w:rPr>
          <w:szCs w:val="24"/>
          <w:lang w:val="id-ID"/>
        </w:rPr>
        <w:t>second</w:t>
      </w:r>
      <w:proofErr w:type="spellEnd"/>
      <w:r w:rsidRPr="00840DC7">
        <w:rPr>
          <w:szCs w:val="24"/>
          <w:lang w:val="id-ID"/>
        </w:rPr>
        <w:t xml:space="preserve"> </w:t>
      </w:r>
      <w:proofErr w:type="spellStart"/>
      <w:r w:rsidRPr="00840DC7">
        <w:rPr>
          <w:szCs w:val="24"/>
          <w:lang w:val="id-ID"/>
        </w:rPr>
        <w:t>hypotheses</w:t>
      </w:r>
      <w:proofErr w:type="spellEnd"/>
      <w:r w:rsidRPr="00840DC7">
        <w:rPr>
          <w:szCs w:val="24"/>
          <w:lang w:val="id-ID"/>
        </w:rPr>
        <w:t xml:space="preserve"> are </w:t>
      </w:r>
      <w:proofErr w:type="spellStart"/>
      <w:r w:rsidRPr="00840DC7">
        <w:rPr>
          <w:szCs w:val="24"/>
          <w:lang w:val="id-ID"/>
        </w:rPr>
        <w:t>rejected</w:t>
      </w:r>
      <w:proofErr w:type="spellEnd"/>
      <w:r w:rsidRPr="00840DC7">
        <w:rPr>
          <w:szCs w:val="24"/>
          <w:lang w:val="id-ID"/>
        </w:rPr>
        <w:t xml:space="preserve">. </w:t>
      </w:r>
      <w:proofErr w:type="spellStart"/>
      <w:r w:rsidRPr="00840DC7">
        <w:rPr>
          <w:szCs w:val="24"/>
          <w:lang w:val="id-ID"/>
        </w:rPr>
        <w:t>While</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exchange</w:t>
      </w:r>
      <w:proofErr w:type="spellEnd"/>
      <w:r w:rsidRPr="00840DC7">
        <w:rPr>
          <w:szCs w:val="24"/>
          <w:lang w:val="id-ID"/>
        </w:rPr>
        <w:t xml:space="preserve"> </w:t>
      </w:r>
      <w:proofErr w:type="spellStart"/>
      <w:r w:rsidRPr="00840DC7">
        <w:rPr>
          <w:szCs w:val="24"/>
          <w:lang w:val="id-ID"/>
        </w:rPr>
        <w:t>rate</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has a </w:t>
      </w:r>
      <w:proofErr w:type="spellStart"/>
      <w:r w:rsidRPr="00840DC7">
        <w:rPr>
          <w:szCs w:val="24"/>
          <w:lang w:val="id-ID"/>
        </w:rPr>
        <w:t>significant</w:t>
      </w:r>
      <w:proofErr w:type="spellEnd"/>
      <w:r w:rsidRPr="00840DC7">
        <w:rPr>
          <w:szCs w:val="24"/>
          <w:lang w:val="id-ID"/>
        </w:rPr>
        <w:t xml:space="preserve"> </w:t>
      </w:r>
      <w:proofErr w:type="spellStart"/>
      <w:r w:rsidRPr="00840DC7">
        <w:rPr>
          <w:szCs w:val="24"/>
          <w:lang w:val="id-ID"/>
        </w:rPr>
        <w:t>effect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a t-</w:t>
      </w:r>
      <w:proofErr w:type="spellStart"/>
      <w:r w:rsidRPr="00840DC7">
        <w:rPr>
          <w:szCs w:val="24"/>
          <w:lang w:val="id-ID"/>
        </w:rPr>
        <w:t>statistic</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2.100&gt; 1.96, </w:t>
      </w:r>
      <w:proofErr w:type="spellStart"/>
      <w:r w:rsidRPr="00840DC7">
        <w:rPr>
          <w:szCs w:val="24"/>
          <w:lang w:val="id-ID"/>
        </w:rPr>
        <w:t>it</w:t>
      </w:r>
      <w:proofErr w:type="spellEnd"/>
      <w:r w:rsidRPr="00840DC7">
        <w:rPr>
          <w:szCs w:val="24"/>
          <w:lang w:val="id-ID"/>
        </w:rPr>
        <w:t xml:space="preserve">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stated</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third</w:t>
      </w:r>
      <w:proofErr w:type="spellEnd"/>
      <w:r w:rsidRPr="00840DC7">
        <w:rPr>
          <w:szCs w:val="24"/>
          <w:lang w:val="id-ID"/>
        </w:rPr>
        <w:t xml:space="preserve"> </w:t>
      </w:r>
      <w:proofErr w:type="spellStart"/>
      <w:r w:rsidRPr="00840DC7">
        <w:rPr>
          <w:szCs w:val="24"/>
          <w:lang w:val="id-ID"/>
        </w:rPr>
        <w:t>hypothesis</w:t>
      </w:r>
      <w:proofErr w:type="spellEnd"/>
      <w:r w:rsidRPr="00840DC7">
        <w:rPr>
          <w:szCs w:val="24"/>
          <w:lang w:val="id-ID"/>
        </w:rPr>
        <w:t xml:space="preserve">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accepted</w:t>
      </w:r>
      <w:proofErr w:type="spellEnd"/>
      <w:r w:rsidRPr="00840DC7">
        <w:rPr>
          <w:szCs w:val="24"/>
          <w:lang w:val="id-ID"/>
        </w:rPr>
        <w:t xml:space="preserve">. </w:t>
      </w:r>
      <w:proofErr w:type="spellStart"/>
      <w:r w:rsidRPr="00840DC7">
        <w:rPr>
          <w:szCs w:val="24"/>
          <w:lang w:val="id-ID"/>
        </w:rPr>
        <w:t>Finally</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GDP </w:t>
      </w:r>
      <w:proofErr w:type="spellStart"/>
      <w:r w:rsidRPr="00840DC7">
        <w:rPr>
          <w:szCs w:val="24"/>
          <w:lang w:val="id-ID"/>
        </w:rPr>
        <w:t>construct</w:t>
      </w:r>
      <w:proofErr w:type="spellEnd"/>
      <w:r w:rsidRPr="00840DC7">
        <w:rPr>
          <w:szCs w:val="24"/>
          <w:lang w:val="id-ID"/>
        </w:rPr>
        <w:t xml:space="preserve"> has a </w:t>
      </w:r>
      <w:proofErr w:type="spellStart"/>
      <w:r w:rsidRPr="00840DC7">
        <w:rPr>
          <w:szCs w:val="24"/>
          <w:lang w:val="id-ID"/>
        </w:rPr>
        <w:t>significant</w:t>
      </w:r>
      <w:proofErr w:type="spellEnd"/>
      <w:r w:rsidRPr="00840DC7">
        <w:rPr>
          <w:szCs w:val="24"/>
          <w:lang w:val="id-ID"/>
        </w:rPr>
        <w:t xml:space="preserve"> </w:t>
      </w:r>
      <w:proofErr w:type="spellStart"/>
      <w:r w:rsidRPr="00840DC7">
        <w:rPr>
          <w:szCs w:val="24"/>
          <w:lang w:val="id-ID"/>
        </w:rPr>
        <w:t>effect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a t-</w:t>
      </w:r>
      <w:proofErr w:type="spellStart"/>
      <w:r w:rsidRPr="00840DC7">
        <w:rPr>
          <w:szCs w:val="24"/>
          <w:lang w:val="id-ID"/>
        </w:rPr>
        <w:t>statistic</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5.074&gt;1.96, </w:t>
      </w:r>
      <w:proofErr w:type="spellStart"/>
      <w:r w:rsidRPr="00840DC7">
        <w:rPr>
          <w:szCs w:val="24"/>
          <w:lang w:val="id-ID"/>
        </w:rPr>
        <w:t>it</w:t>
      </w:r>
      <w:proofErr w:type="spellEnd"/>
      <w:r w:rsidRPr="00840DC7">
        <w:rPr>
          <w:szCs w:val="24"/>
          <w:lang w:val="id-ID"/>
        </w:rPr>
        <w:t xml:space="preserve"> </w:t>
      </w:r>
      <w:proofErr w:type="spellStart"/>
      <w:r w:rsidRPr="00840DC7">
        <w:rPr>
          <w:szCs w:val="24"/>
          <w:lang w:val="id-ID"/>
        </w:rPr>
        <w:t>can</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stated</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fourth</w:t>
      </w:r>
      <w:proofErr w:type="spellEnd"/>
      <w:r w:rsidRPr="00840DC7">
        <w:rPr>
          <w:szCs w:val="24"/>
          <w:lang w:val="id-ID"/>
        </w:rPr>
        <w:t xml:space="preserve"> </w:t>
      </w:r>
      <w:proofErr w:type="spellStart"/>
      <w:r w:rsidRPr="00840DC7">
        <w:rPr>
          <w:szCs w:val="24"/>
          <w:lang w:val="id-ID"/>
        </w:rPr>
        <w:t>hypothesis</w:t>
      </w:r>
      <w:proofErr w:type="spellEnd"/>
      <w:r w:rsidRPr="00840DC7">
        <w:rPr>
          <w:szCs w:val="24"/>
          <w:lang w:val="id-ID"/>
        </w:rPr>
        <w:t xml:space="preserve"> in </w:t>
      </w:r>
      <w:proofErr w:type="spellStart"/>
      <w:r w:rsidRPr="00840DC7">
        <w:rPr>
          <w:szCs w:val="24"/>
          <w:lang w:val="id-ID"/>
        </w:rPr>
        <w:t>this</w:t>
      </w:r>
      <w:proofErr w:type="spellEnd"/>
      <w:r w:rsidRPr="00840DC7">
        <w:rPr>
          <w:szCs w:val="24"/>
          <w:lang w:val="id-ID"/>
        </w:rPr>
        <w:t xml:space="preserve"> study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accepted</w:t>
      </w:r>
      <w:proofErr w:type="spellEnd"/>
      <w:r w:rsidRPr="00840DC7">
        <w:rPr>
          <w:szCs w:val="24"/>
          <w:lang w:val="id-ID"/>
        </w:rPr>
        <w:t>.</w:t>
      </w:r>
    </w:p>
    <w:p w14:paraId="1BAFC7CA" w14:textId="4190559E" w:rsidR="00840DC7" w:rsidRPr="00840DC7" w:rsidRDefault="00840DC7" w:rsidP="00840DC7">
      <w:pPr>
        <w:widowControl w:val="0"/>
        <w:autoSpaceDE w:val="0"/>
        <w:autoSpaceDN w:val="0"/>
        <w:jc w:val="both"/>
        <w:rPr>
          <w:szCs w:val="24"/>
          <w:lang w:val="id-ID"/>
        </w:rPr>
      </w:pPr>
    </w:p>
    <w:p w14:paraId="593161F1" w14:textId="5440C707" w:rsidR="00840DC7" w:rsidRDefault="00840DC7" w:rsidP="00840DC7">
      <w:pPr>
        <w:widowControl w:val="0"/>
        <w:autoSpaceDE w:val="0"/>
        <w:autoSpaceDN w:val="0"/>
        <w:jc w:val="both"/>
        <w:rPr>
          <w:b/>
          <w:bCs/>
          <w:szCs w:val="24"/>
          <w:lang w:val="id-ID"/>
        </w:rPr>
      </w:pPr>
      <w:r>
        <w:rPr>
          <w:b/>
          <w:bCs/>
          <w:szCs w:val="24"/>
        </w:rPr>
        <w:lastRenderedPageBreak/>
        <w:t xml:space="preserve">3.1.4. </w:t>
      </w:r>
      <w:proofErr w:type="spellStart"/>
      <w:r w:rsidRPr="00840DC7">
        <w:rPr>
          <w:b/>
          <w:bCs/>
          <w:szCs w:val="24"/>
          <w:lang w:val="id-ID"/>
        </w:rPr>
        <w:t>Moderation</w:t>
      </w:r>
      <w:proofErr w:type="spellEnd"/>
      <w:r w:rsidRPr="00840DC7">
        <w:rPr>
          <w:b/>
          <w:bCs/>
          <w:szCs w:val="24"/>
          <w:lang w:val="id-ID"/>
        </w:rPr>
        <w:t xml:space="preserve"> </w:t>
      </w:r>
      <w:proofErr w:type="spellStart"/>
      <w:r w:rsidRPr="00840DC7">
        <w:rPr>
          <w:b/>
          <w:bCs/>
          <w:szCs w:val="24"/>
          <w:lang w:val="id-ID"/>
        </w:rPr>
        <w:t>Test</w:t>
      </w:r>
      <w:proofErr w:type="spellEnd"/>
    </w:p>
    <w:p w14:paraId="54203979" w14:textId="7349C04E" w:rsidR="00840DC7" w:rsidRDefault="00840DC7" w:rsidP="00840DC7">
      <w:pPr>
        <w:widowControl w:val="0"/>
        <w:autoSpaceDE w:val="0"/>
        <w:autoSpaceDN w:val="0"/>
        <w:jc w:val="both"/>
        <w:rPr>
          <w:b/>
          <w:bCs/>
          <w:szCs w:val="24"/>
          <w:lang w:val="id-ID"/>
        </w:rPr>
      </w:pPr>
    </w:p>
    <w:p w14:paraId="6F635902" w14:textId="66E8C435" w:rsidR="00840DC7" w:rsidRPr="00840DC7" w:rsidRDefault="00840DC7" w:rsidP="00840DC7">
      <w:pPr>
        <w:widowControl w:val="0"/>
        <w:autoSpaceDE w:val="0"/>
        <w:autoSpaceDN w:val="0"/>
        <w:ind w:left="2160" w:firstLine="720"/>
        <w:jc w:val="both"/>
        <w:rPr>
          <w:szCs w:val="24"/>
          <w:lang w:val="id-ID"/>
        </w:rPr>
      </w:pPr>
      <w:proofErr w:type="spellStart"/>
      <w:r w:rsidRPr="00840DC7">
        <w:rPr>
          <w:szCs w:val="24"/>
          <w:lang w:val="id-ID"/>
        </w:rPr>
        <w:t>Table</w:t>
      </w:r>
      <w:proofErr w:type="spellEnd"/>
      <w:r w:rsidRPr="00840DC7">
        <w:rPr>
          <w:szCs w:val="24"/>
          <w:lang w:val="id-ID"/>
        </w:rPr>
        <w:t xml:space="preserve"> </w:t>
      </w:r>
      <w:r w:rsidR="001E1874">
        <w:rPr>
          <w:szCs w:val="24"/>
        </w:rPr>
        <w:t>3</w:t>
      </w:r>
      <w:r w:rsidRPr="00840DC7">
        <w:rPr>
          <w:szCs w:val="24"/>
          <w:lang w:val="id-ID"/>
        </w:rPr>
        <w:t xml:space="preserve">. </w:t>
      </w:r>
      <w:proofErr w:type="spellStart"/>
      <w:r w:rsidRPr="00840DC7">
        <w:rPr>
          <w:szCs w:val="24"/>
          <w:lang w:val="id-ID"/>
        </w:rPr>
        <w:t>Moderation</w:t>
      </w:r>
      <w:proofErr w:type="spellEnd"/>
      <w:r w:rsidRPr="00840DC7">
        <w:rPr>
          <w:szCs w:val="24"/>
          <w:lang w:val="id-ID"/>
        </w:rPr>
        <w:t xml:space="preserve"> </w:t>
      </w:r>
      <w:proofErr w:type="spellStart"/>
      <w:r w:rsidRPr="00840DC7">
        <w:rPr>
          <w:szCs w:val="24"/>
          <w:lang w:val="id-ID"/>
        </w:rPr>
        <w:t>Effect</w:t>
      </w:r>
      <w:proofErr w:type="spellEnd"/>
      <w:r w:rsidRPr="00840DC7">
        <w:rPr>
          <w:szCs w:val="24"/>
          <w:lang w:val="id-ID"/>
        </w:rPr>
        <w:t xml:space="preserve"> </w:t>
      </w:r>
      <w:proofErr w:type="spellStart"/>
      <w:r w:rsidRPr="00840DC7">
        <w:rPr>
          <w:szCs w:val="24"/>
          <w:lang w:val="id-ID"/>
        </w:rPr>
        <w:t>Test</w:t>
      </w:r>
      <w:proofErr w:type="spellEnd"/>
      <w:r w:rsidRPr="00840DC7">
        <w:rPr>
          <w:szCs w:val="24"/>
          <w:lang w:val="id-ID"/>
        </w:rPr>
        <w:t xml:space="preserve"> </w:t>
      </w:r>
      <w:proofErr w:type="spellStart"/>
      <w:r w:rsidRPr="00840DC7">
        <w:rPr>
          <w:szCs w:val="24"/>
          <w:lang w:val="id-ID"/>
        </w:rPr>
        <w:t>Results</w:t>
      </w:r>
      <w:proofErr w:type="spellEnd"/>
    </w:p>
    <w:tbl>
      <w:tblPr>
        <w:tblStyle w:val="TableGrid3"/>
        <w:tblW w:w="6771" w:type="dxa"/>
        <w:tblInd w:w="14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958"/>
        <w:gridCol w:w="992"/>
        <w:gridCol w:w="1134"/>
        <w:gridCol w:w="993"/>
      </w:tblGrid>
      <w:tr w:rsidR="00840DC7" w:rsidRPr="00945AAF" w14:paraId="1CB58BC6" w14:textId="77777777" w:rsidTr="00A12505">
        <w:trPr>
          <w:trHeight w:val="625"/>
        </w:trPr>
        <w:tc>
          <w:tcPr>
            <w:tcW w:w="2694" w:type="dxa"/>
            <w:tcBorders>
              <w:top w:val="single" w:sz="4" w:space="0" w:color="auto"/>
              <w:bottom w:val="single" w:sz="4" w:space="0" w:color="auto"/>
            </w:tcBorders>
            <w:vAlign w:val="center"/>
          </w:tcPr>
          <w:p w14:paraId="4F772863"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Variabel</w:t>
            </w:r>
          </w:p>
        </w:tc>
        <w:tc>
          <w:tcPr>
            <w:tcW w:w="958" w:type="dxa"/>
            <w:tcBorders>
              <w:top w:val="single" w:sz="4" w:space="0" w:color="auto"/>
              <w:bottom w:val="single" w:sz="4" w:space="0" w:color="auto"/>
            </w:tcBorders>
            <w:vAlign w:val="center"/>
          </w:tcPr>
          <w:p w14:paraId="29554598"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 xml:space="preserve">Sampel </w:t>
            </w:r>
            <w:proofErr w:type="spellStart"/>
            <w:r w:rsidRPr="00945AAF">
              <w:rPr>
                <w:rFonts w:ascii="Times New Roman" w:eastAsia="Calibri" w:hAnsi="Times New Roman" w:cs="Times New Roman"/>
                <w:sz w:val="20"/>
              </w:rPr>
              <w:t>Original</w:t>
            </w:r>
            <w:proofErr w:type="spellEnd"/>
          </w:p>
        </w:tc>
        <w:tc>
          <w:tcPr>
            <w:tcW w:w="992" w:type="dxa"/>
            <w:tcBorders>
              <w:top w:val="single" w:sz="4" w:space="0" w:color="auto"/>
              <w:bottom w:val="single" w:sz="4" w:space="0" w:color="auto"/>
            </w:tcBorders>
            <w:vAlign w:val="center"/>
          </w:tcPr>
          <w:p w14:paraId="475B93B6"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STDEV</w:t>
            </w:r>
          </w:p>
        </w:tc>
        <w:tc>
          <w:tcPr>
            <w:tcW w:w="1134" w:type="dxa"/>
            <w:tcBorders>
              <w:top w:val="single" w:sz="4" w:space="0" w:color="auto"/>
              <w:bottom w:val="single" w:sz="4" w:space="0" w:color="auto"/>
            </w:tcBorders>
            <w:vAlign w:val="center"/>
          </w:tcPr>
          <w:p w14:paraId="1F3E8F80"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 xml:space="preserve">T </w:t>
            </w:r>
            <w:proofErr w:type="spellStart"/>
            <w:r w:rsidRPr="00945AAF">
              <w:rPr>
                <w:rFonts w:ascii="Times New Roman" w:eastAsia="Calibri" w:hAnsi="Times New Roman" w:cs="Times New Roman"/>
                <w:sz w:val="20"/>
              </w:rPr>
              <w:t>statistic</w:t>
            </w:r>
            <w:proofErr w:type="spellEnd"/>
          </w:p>
        </w:tc>
        <w:tc>
          <w:tcPr>
            <w:tcW w:w="993" w:type="dxa"/>
            <w:tcBorders>
              <w:top w:val="single" w:sz="4" w:space="0" w:color="auto"/>
              <w:bottom w:val="single" w:sz="4" w:space="0" w:color="auto"/>
            </w:tcBorders>
            <w:vAlign w:val="center"/>
          </w:tcPr>
          <w:p w14:paraId="3E13E7EF" w14:textId="77777777" w:rsidR="00840DC7" w:rsidRPr="00945AAF" w:rsidRDefault="00840DC7" w:rsidP="00A12505">
            <w:pPr>
              <w:jc w:val="center"/>
              <w:rPr>
                <w:rFonts w:ascii="Times New Roman" w:eastAsia="Calibri" w:hAnsi="Times New Roman" w:cs="Times New Roman"/>
                <w:sz w:val="20"/>
              </w:rPr>
            </w:pPr>
            <w:r w:rsidRPr="00945AAF">
              <w:rPr>
                <w:rFonts w:ascii="Times New Roman" w:eastAsia="Calibri" w:hAnsi="Times New Roman" w:cs="Times New Roman"/>
                <w:sz w:val="20"/>
              </w:rPr>
              <w:t xml:space="preserve">P </w:t>
            </w:r>
            <w:proofErr w:type="spellStart"/>
            <w:r w:rsidRPr="00945AAF">
              <w:rPr>
                <w:rFonts w:ascii="Times New Roman" w:eastAsia="Calibri" w:hAnsi="Times New Roman" w:cs="Times New Roman"/>
                <w:sz w:val="20"/>
              </w:rPr>
              <w:t>value</w:t>
            </w:r>
            <w:proofErr w:type="spellEnd"/>
          </w:p>
        </w:tc>
      </w:tr>
      <w:tr w:rsidR="00840DC7" w:rsidRPr="00945AAF" w14:paraId="491401A9" w14:textId="77777777" w:rsidTr="00A12505">
        <w:trPr>
          <w:trHeight w:val="321"/>
        </w:trPr>
        <w:tc>
          <w:tcPr>
            <w:tcW w:w="2694" w:type="dxa"/>
            <w:tcBorders>
              <w:top w:val="single" w:sz="4" w:space="0" w:color="auto"/>
            </w:tcBorders>
            <w:vAlign w:val="center"/>
          </w:tcPr>
          <w:p w14:paraId="7BBFFD7F" w14:textId="77777777" w:rsidR="00840DC7" w:rsidRPr="00945AAF" w:rsidRDefault="00840DC7" w:rsidP="00A12505">
            <w:pPr>
              <w:spacing w:line="276" w:lineRule="auto"/>
              <w:rPr>
                <w:rFonts w:ascii="Times New Roman" w:eastAsia="Calibri" w:hAnsi="Times New Roman" w:cs="Times New Roman"/>
                <w:sz w:val="20"/>
              </w:rPr>
            </w:pPr>
            <w:r w:rsidRPr="00945AAF">
              <w:rPr>
                <w:rFonts w:ascii="Times New Roman" w:eastAsia="Calibri" w:hAnsi="Times New Roman" w:cs="Times New Roman"/>
                <w:sz w:val="20"/>
              </w:rPr>
              <w:t xml:space="preserve">LDER*ROA &gt; </w:t>
            </w:r>
            <w:proofErr w:type="spellStart"/>
            <w:r w:rsidRPr="00945AAF">
              <w:rPr>
                <w:rFonts w:ascii="Times New Roman" w:eastAsia="Calibri" w:hAnsi="Times New Roman" w:cs="Times New Roman"/>
                <w:sz w:val="20"/>
              </w:rPr>
              <w:t>Tobins`q</w:t>
            </w:r>
            <w:proofErr w:type="spellEnd"/>
          </w:p>
        </w:tc>
        <w:tc>
          <w:tcPr>
            <w:tcW w:w="958" w:type="dxa"/>
            <w:tcBorders>
              <w:top w:val="single" w:sz="4" w:space="0" w:color="auto"/>
            </w:tcBorders>
            <w:vAlign w:val="center"/>
          </w:tcPr>
          <w:p w14:paraId="0F6CF7C9"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-0,206</w:t>
            </w:r>
          </w:p>
        </w:tc>
        <w:tc>
          <w:tcPr>
            <w:tcW w:w="992" w:type="dxa"/>
            <w:tcBorders>
              <w:top w:val="single" w:sz="4" w:space="0" w:color="auto"/>
            </w:tcBorders>
            <w:vAlign w:val="center"/>
          </w:tcPr>
          <w:p w14:paraId="626A9D3A"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0,260</w:t>
            </w:r>
          </w:p>
        </w:tc>
        <w:tc>
          <w:tcPr>
            <w:tcW w:w="1134" w:type="dxa"/>
            <w:tcBorders>
              <w:top w:val="single" w:sz="4" w:space="0" w:color="auto"/>
            </w:tcBorders>
            <w:vAlign w:val="center"/>
          </w:tcPr>
          <w:p w14:paraId="2F1EB7A7"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0,793</w:t>
            </w:r>
          </w:p>
        </w:tc>
        <w:tc>
          <w:tcPr>
            <w:tcW w:w="993" w:type="dxa"/>
            <w:tcBorders>
              <w:top w:val="single" w:sz="4" w:space="0" w:color="auto"/>
            </w:tcBorders>
          </w:tcPr>
          <w:p w14:paraId="487845A1" w14:textId="77777777" w:rsidR="00840DC7" w:rsidRPr="00945AAF" w:rsidRDefault="00840DC7" w:rsidP="00A12505">
            <w:pPr>
              <w:jc w:val="center"/>
              <w:rPr>
                <w:rFonts w:ascii="Times New Roman" w:eastAsia="Calibri" w:hAnsi="Times New Roman" w:cs="Times New Roman"/>
                <w:sz w:val="20"/>
              </w:rPr>
            </w:pPr>
            <w:r w:rsidRPr="00945AAF">
              <w:rPr>
                <w:rFonts w:ascii="Times New Roman" w:eastAsia="Calibri" w:hAnsi="Times New Roman" w:cs="Times New Roman"/>
                <w:sz w:val="20"/>
              </w:rPr>
              <w:t>0,428</w:t>
            </w:r>
          </w:p>
        </w:tc>
      </w:tr>
      <w:tr w:rsidR="00840DC7" w:rsidRPr="00945AAF" w14:paraId="652B8F99" w14:textId="77777777" w:rsidTr="00A12505">
        <w:trPr>
          <w:trHeight w:val="304"/>
        </w:trPr>
        <w:tc>
          <w:tcPr>
            <w:tcW w:w="2694" w:type="dxa"/>
            <w:vAlign w:val="center"/>
          </w:tcPr>
          <w:p w14:paraId="1F9097DF" w14:textId="77777777" w:rsidR="00840DC7" w:rsidRPr="00945AAF" w:rsidRDefault="00840DC7" w:rsidP="00A12505">
            <w:pPr>
              <w:spacing w:line="276" w:lineRule="auto"/>
              <w:rPr>
                <w:rFonts w:ascii="Times New Roman" w:eastAsia="Calibri" w:hAnsi="Times New Roman" w:cs="Times New Roman"/>
                <w:sz w:val="20"/>
              </w:rPr>
            </w:pPr>
            <w:r w:rsidRPr="00945AAF">
              <w:rPr>
                <w:rFonts w:ascii="Times New Roman" w:eastAsia="Calibri" w:hAnsi="Times New Roman" w:cs="Times New Roman"/>
                <w:sz w:val="20"/>
              </w:rPr>
              <w:t xml:space="preserve">Inflasi*ROA &gt; </w:t>
            </w:r>
            <w:proofErr w:type="spellStart"/>
            <w:r w:rsidRPr="00945AAF">
              <w:rPr>
                <w:rFonts w:ascii="Times New Roman" w:eastAsia="Calibri" w:hAnsi="Times New Roman" w:cs="Times New Roman"/>
                <w:sz w:val="20"/>
              </w:rPr>
              <w:t>Tobins`q</w:t>
            </w:r>
            <w:proofErr w:type="spellEnd"/>
          </w:p>
        </w:tc>
        <w:tc>
          <w:tcPr>
            <w:tcW w:w="958" w:type="dxa"/>
            <w:vAlign w:val="center"/>
          </w:tcPr>
          <w:p w14:paraId="091F19EF"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-0,136</w:t>
            </w:r>
          </w:p>
        </w:tc>
        <w:tc>
          <w:tcPr>
            <w:tcW w:w="992" w:type="dxa"/>
            <w:vAlign w:val="center"/>
          </w:tcPr>
          <w:p w14:paraId="0932AA16"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0,264</w:t>
            </w:r>
          </w:p>
        </w:tc>
        <w:tc>
          <w:tcPr>
            <w:tcW w:w="1134" w:type="dxa"/>
            <w:vAlign w:val="center"/>
          </w:tcPr>
          <w:p w14:paraId="77B3D3AC"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0,516</w:t>
            </w:r>
          </w:p>
        </w:tc>
        <w:tc>
          <w:tcPr>
            <w:tcW w:w="993" w:type="dxa"/>
            <w:vAlign w:val="center"/>
          </w:tcPr>
          <w:p w14:paraId="48CC6AD7" w14:textId="77777777" w:rsidR="00840DC7" w:rsidRPr="00945AAF" w:rsidRDefault="00840DC7" w:rsidP="00A12505">
            <w:pPr>
              <w:jc w:val="center"/>
              <w:rPr>
                <w:rFonts w:ascii="Times New Roman" w:eastAsia="Calibri" w:hAnsi="Times New Roman" w:cs="Times New Roman"/>
                <w:sz w:val="20"/>
              </w:rPr>
            </w:pPr>
            <w:r w:rsidRPr="00945AAF">
              <w:rPr>
                <w:rFonts w:ascii="Times New Roman" w:eastAsia="Calibri" w:hAnsi="Times New Roman" w:cs="Times New Roman"/>
                <w:sz w:val="20"/>
              </w:rPr>
              <w:t>0,606</w:t>
            </w:r>
          </w:p>
        </w:tc>
      </w:tr>
      <w:tr w:rsidR="00840DC7" w:rsidRPr="00945AAF" w14:paraId="474F91EB" w14:textId="77777777" w:rsidTr="00A12505">
        <w:trPr>
          <w:trHeight w:val="321"/>
        </w:trPr>
        <w:tc>
          <w:tcPr>
            <w:tcW w:w="2694" w:type="dxa"/>
            <w:vAlign w:val="center"/>
          </w:tcPr>
          <w:p w14:paraId="5330C416" w14:textId="77777777" w:rsidR="00840DC7" w:rsidRPr="00945AAF" w:rsidRDefault="00840DC7" w:rsidP="00A12505">
            <w:pPr>
              <w:spacing w:line="276" w:lineRule="auto"/>
              <w:rPr>
                <w:rFonts w:ascii="Times New Roman" w:eastAsia="Calibri" w:hAnsi="Times New Roman" w:cs="Times New Roman"/>
                <w:sz w:val="20"/>
              </w:rPr>
            </w:pPr>
            <w:r w:rsidRPr="00945AAF">
              <w:rPr>
                <w:rFonts w:ascii="Times New Roman" w:eastAsia="Calibri" w:hAnsi="Times New Roman" w:cs="Times New Roman"/>
                <w:sz w:val="20"/>
              </w:rPr>
              <w:t xml:space="preserve">Nilai Tukar*ROA &gt; </w:t>
            </w:r>
            <w:proofErr w:type="spellStart"/>
            <w:r w:rsidRPr="00945AAF">
              <w:rPr>
                <w:rFonts w:ascii="Times New Roman" w:eastAsia="Calibri" w:hAnsi="Times New Roman" w:cs="Times New Roman"/>
                <w:sz w:val="20"/>
              </w:rPr>
              <w:t>Tobins`q</w:t>
            </w:r>
            <w:proofErr w:type="spellEnd"/>
          </w:p>
        </w:tc>
        <w:tc>
          <w:tcPr>
            <w:tcW w:w="958" w:type="dxa"/>
            <w:vAlign w:val="center"/>
          </w:tcPr>
          <w:p w14:paraId="10DF623A"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0,164</w:t>
            </w:r>
          </w:p>
        </w:tc>
        <w:tc>
          <w:tcPr>
            <w:tcW w:w="992" w:type="dxa"/>
            <w:vAlign w:val="center"/>
          </w:tcPr>
          <w:p w14:paraId="64C80390"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0,266</w:t>
            </w:r>
          </w:p>
        </w:tc>
        <w:tc>
          <w:tcPr>
            <w:tcW w:w="1134" w:type="dxa"/>
            <w:vAlign w:val="center"/>
          </w:tcPr>
          <w:p w14:paraId="683DA9DD"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0,616</w:t>
            </w:r>
          </w:p>
        </w:tc>
        <w:tc>
          <w:tcPr>
            <w:tcW w:w="993" w:type="dxa"/>
            <w:vAlign w:val="center"/>
          </w:tcPr>
          <w:p w14:paraId="20AA7B79" w14:textId="77777777" w:rsidR="00840DC7" w:rsidRPr="00945AAF" w:rsidRDefault="00840DC7" w:rsidP="00A12505">
            <w:pPr>
              <w:jc w:val="center"/>
              <w:rPr>
                <w:rFonts w:ascii="Times New Roman" w:eastAsia="Calibri" w:hAnsi="Times New Roman" w:cs="Times New Roman"/>
                <w:sz w:val="20"/>
              </w:rPr>
            </w:pPr>
            <w:r w:rsidRPr="00945AAF">
              <w:rPr>
                <w:rFonts w:ascii="Times New Roman" w:eastAsia="Calibri" w:hAnsi="Times New Roman" w:cs="Times New Roman"/>
                <w:sz w:val="20"/>
              </w:rPr>
              <w:t>0,538</w:t>
            </w:r>
          </w:p>
        </w:tc>
      </w:tr>
      <w:tr w:rsidR="00840DC7" w:rsidRPr="00945AAF" w14:paraId="0A7342E4" w14:textId="77777777" w:rsidTr="00A12505">
        <w:trPr>
          <w:trHeight w:val="321"/>
        </w:trPr>
        <w:tc>
          <w:tcPr>
            <w:tcW w:w="2694" w:type="dxa"/>
            <w:vAlign w:val="center"/>
          </w:tcPr>
          <w:p w14:paraId="529DD0B7" w14:textId="77777777" w:rsidR="00840DC7" w:rsidRPr="00945AAF" w:rsidRDefault="00840DC7" w:rsidP="00A12505">
            <w:pPr>
              <w:spacing w:line="276" w:lineRule="auto"/>
              <w:rPr>
                <w:rFonts w:ascii="Times New Roman" w:eastAsia="Calibri" w:hAnsi="Times New Roman" w:cs="Times New Roman"/>
                <w:sz w:val="20"/>
              </w:rPr>
            </w:pPr>
            <w:r w:rsidRPr="00945AAF">
              <w:rPr>
                <w:rFonts w:ascii="Times New Roman" w:eastAsia="Calibri" w:hAnsi="Times New Roman" w:cs="Times New Roman"/>
                <w:sz w:val="20"/>
              </w:rPr>
              <w:t xml:space="preserve">PDB*ROA &gt; </w:t>
            </w:r>
            <w:proofErr w:type="spellStart"/>
            <w:r w:rsidRPr="00945AAF">
              <w:rPr>
                <w:rFonts w:ascii="Times New Roman" w:eastAsia="Calibri" w:hAnsi="Times New Roman" w:cs="Times New Roman"/>
                <w:sz w:val="20"/>
              </w:rPr>
              <w:t>Tobins`q</w:t>
            </w:r>
            <w:proofErr w:type="spellEnd"/>
          </w:p>
        </w:tc>
        <w:tc>
          <w:tcPr>
            <w:tcW w:w="958" w:type="dxa"/>
            <w:vAlign w:val="center"/>
          </w:tcPr>
          <w:p w14:paraId="0B5CEF59"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-0,070</w:t>
            </w:r>
          </w:p>
        </w:tc>
        <w:tc>
          <w:tcPr>
            <w:tcW w:w="992" w:type="dxa"/>
            <w:vAlign w:val="center"/>
          </w:tcPr>
          <w:p w14:paraId="0756EE45"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0,149</w:t>
            </w:r>
          </w:p>
        </w:tc>
        <w:tc>
          <w:tcPr>
            <w:tcW w:w="1134" w:type="dxa"/>
            <w:vAlign w:val="center"/>
          </w:tcPr>
          <w:p w14:paraId="2CFF84BD" w14:textId="77777777" w:rsidR="00840DC7" w:rsidRPr="00945AAF" w:rsidRDefault="00840DC7" w:rsidP="00A12505">
            <w:pPr>
              <w:spacing w:line="276" w:lineRule="auto"/>
              <w:jc w:val="center"/>
              <w:rPr>
                <w:rFonts w:ascii="Times New Roman" w:eastAsia="Calibri" w:hAnsi="Times New Roman" w:cs="Times New Roman"/>
                <w:sz w:val="20"/>
              </w:rPr>
            </w:pPr>
            <w:r w:rsidRPr="00945AAF">
              <w:rPr>
                <w:rFonts w:ascii="Times New Roman" w:eastAsia="Calibri" w:hAnsi="Times New Roman" w:cs="Times New Roman"/>
                <w:sz w:val="20"/>
              </w:rPr>
              <w:t>0,468</w:t>
            </w:r>
          </w:p>
        </w:tc>
        <w:tc>
          <w:tcPr>
            <w:tcW w:w="993" w:type="dxa"/>
          </w:tcPr>
          <w:p w14:paraId="61941EED" w14:textId="77777777" w:rsidR="00840DC7" w:rsidRPr="00945AAF" w:rsidRDefault="00840DC7" w:rsidP="00A12505">
            <w:pPr>
              <w:jc w:val="center"/>
              <w:rPr>
                <w:rFonts w:ascii="Times New Roman" w:eastAsia="Calibri" w:hAnsi="Times New Roman" w:cs="Times New Roman"/>
                <w:sz w:val="20"/>
              </w:rPr>
            </w:pPr>
            <w:r w:rsidRPr="00945AAF">
              <w:rPr>
                <w:rFonts w:ascii="Times New Roman" w:eastAsia="Calibri" w:hAnsi="Times New Roman" w:cs="Times New Roman"/>
                <w:sz w:val="20"/>
              </w:rPr>
              <w:t>0,640</w:t>
            </w:r>
          </w:p>
        </w:tc>
      </w:tr>
    </w:tbl>
    <w:p w14:paraId="1B98C981" w14:textId="77777777" w:rsidR="00840DC7" w:rsidRDefault="00840DC7" w:rsidP="00840DC7">
      <w:pPr>
        <w:widowControl w:val="0"/>
        <w:autoSpaceDE w:val="0"/>
        <w:autoSpaceDN w:val="0"/>
        <w:jc w:val="both"/>
        <w:rPr>
          <w:b/>
          <w:bCs/>
          <w:szCs w:val="24"/>
          <w:lang w:val="id-ID"/>
        </w:rPr>
      </w:pPr>
    </w:p>
    <w:p w14:paraId="1EFCAEF4" w14:textId="0AF3B7D8" w:rsidR="00840DC7" w:rsidRPr="00840DC7" w:rsidRDefault="00840DC7" w:rsidP="00840DC7">
      <w:pPr>
        <w:widowControl w:val="0"/>
        <w:autoSpaceDE w:val="0"/>
        <w:autoSpaceDN w:val="0"/>
        <w:jc w:val="both"/>
        <w:rPr>
          <w:szCs w:val="24"/>
          <w:lang w:val="id-ID"/>
        </w:rPr>
      </w:pPr>
      <w:r w:rsidRPr="00840DC7">
        <w:rPr>
          <w:szCs w:val="24"/>
          <w:lang w:val="id-ID"/>
        </w:rPr>
        <w:t xml:space="preserve">The </w:t>
      </w:r>
      <w:proofErr w:type="spellStart"/>
      <w:r w:rsidRPr="00840DC7">
        <w:rPr>
          <w:szCs w:val="24"/>
          <w:lang w:val="id-ID"/>
        </w:rPr>
        <w:t>capital</w:t>
      </w:r>
      <w:proofErr w:type="spellEnd"/>
      <w:r w:rsidRPr="00840DC7">
        <w:rPr>
          <w:szCs w:val="24"/>
          <w:lang w:val="id-ID"/>
        </w:rPr>
        <w:t xml:space="preserve"> </w:t>
      </w:r>
      <w:proofErr w:type="spellStart"/>
      <w:r w:rsidRPr="00840DC7">
        <w:rPr>
          <w:szCs w:val="24"/>
          <w:lang w:val="id-ID"/>
        </w:rPr>
        <w:t>structure</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financial</w:t>
      </w:r>
      <w:proofErr w:type="spellEnd"/>
      <w:r w:rsidRPr="00840DC7">
        <w:rPr>
          <w:szCs w:val="24"/>
          <w:lang w:val="id-ID"/>
        </w:rPr>
        <w:t xml:space="preserve"> </w:t>
      </w:r>
      <w:proofErr w:type="spellStart"/>
      <w:r w:rsidRPr="00840DC7">
        <w:rPr>
          <w:szCs w:val="24"/>
          <w:lang w:val="id-ID"/>
        </w:rPr>
        <w:t>performance</w:t>
      </w:r>
      <w:proofErr w:type="spellEnd"/>
      <w:r w:rsidRPr="00840DC7">
        <w:rPr>
          <w:szCs w:val="24"/>
          <w:lang w:val="id-ID"/>
        </w:rPr>
        <w:t xml:space="preserve"> </w:t>
      </w:r>
      <w:proofErr w:type="spellStart"/>
      <w:r w:rsidRPr="00840DC7">
        <w:rPr>
          <w:szCs w:val="24"/>
          <w:lang w:val="id-ID"/>
        </w:rPr>
        <w:t>shows</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results</w:t>
      </w:r>
      <w:proofErr w:type="spellEnd"/>
      <w:r w:rsidRPr="00840DC7">
        <w:rPr>
          <w:szCs w:val="24"/>
          <w:lang w:val="id-ID"/>
        </w:rPr>
        <w:t xml:space="preserve"> </w:t>
      </w:r>
      <w:proofErr w:type="spellStart"/>
      <w:r w:rsidRPr="00840DC7">
        <w:rPr>
          <w:szCs w:val="24"/>
          <w:lang w:val="id-ID"/>
        </w:rPr>
        <w:t>cannot</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original</w:t>
      </w:r>
      <w:proofErr w:type="spellEnd"/>
      <w:r w:rsidRPr="00840DC7">
        <w:rPr>
          <w:szCs w:val="24"/>
          <w:lang w:val="id-ID"/>
        </w:rPr>
        <w:t xml:space="preserve"> </w:t>
      </w:r>
      <w:proofErr w:type="spellStart"/>
      <w:r w:rsidRPr="00840DC7">
        <w:rPr>
          <w:szCs w:val="24"/>
          <w:lang w:val="id-ID"/>
        </w:rPr>
        <w:t>sample</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-0.206 </w:t>
      </w:r>
      <w:proofErr w:type="spellStart"/>
      <w:r w:rsidRPr="00840DC7">
        <w:rPr>
          <w:szCs w:val="24"/>
          <w:lang w:val="id-ID"/>
        </w:rPr>
        <w:t>and</w:t>
      </w:r>
      <w:proofErr w:type="spellEnd"/>
      <w:r w:rsidRPr="00840DC7">
        <w:rPr>
          <w:szCs w:val="24"/>
          <w:lang w:val="id-ID"/>
        </w:rPr>
        <w:t xml:space="preserve"> t-</w:t>
      </w:r>
      <w:proofErr w:type="spellStart"/>
      <w:r w:rsidRPr="00840DC7">
        <w:rPr>
          <w:szCs w:val="24"/>
          <w:lang w:val="id-ID"/>
        </w:rPr>
        <w:t>statistic</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0.793 &lt;1.96. </w:t>
      </w:r>
      <w:proofErr w:type="spellStart"/>
      <w:r w:rsidRPr="00840DC7">
        <w:rPr>
          <w:szCs w:val="24"/>
          <w:lang w:val="id-ID"/>
        </w:rPr>
        <w:t>So</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fifth</w:t>
      </w:r>
      <w:proofErr w:type="spellEnd"/>
      <w:r w:rsidRPr="00840DC7">
        <w:rPr>
          <w:szCs w:val="24"/>
          <w:lang w:val="id-ID"/>
        </w:rPr>
        <w:t xml:space="preserve"> </w:t>
      </w:r>
      <w:proofErr w:type="spellStart"/>
      <w:r w:rsidRPr="00840DC7">
        <w:rPr>
          <w:szCs w:val="24"/>
          <w:lang w:val="id-ID"/>
        </w:rPr>
        <w:t>hypothesis</w:t>
      </w:r>
      <w:proofErr w:type="spellEnd"/>
      <w:r w:rsidRPr="00840DC7">
        <w:rPr>
          <w:szCs w:val="24"/>
          <w:lang w:val="id-ID"/>
        </w:rPr>
        <w:t xml:space="preserve"> in </w:t>
      </w:r>
      <w:proofErr w:type="spellStart"/>
      <w:r w:rsidRPr="00840DC7">
        <w:rPr>
          <w:szCs w:val="24"/>
          <w:lang w:val="id-ID"/>
        </w:rPr>
        <w:t>this</w:t>
      </w:r>
      <w:proofErr w:type="spellEnd"/>
      <w:r w:rsidRPr="00840DC7">
        <w:rPr>
          <w:szCs w:val="24"/>
          <w:lang w:val="id-ID"/>
        </w:rPr>
        <w:t xml:space="preserve"> study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accepted</w:t>
      </w:r>
      <w:proofErr w:type="spellEnd"/>
      <w:r w:rsidRPr="00840DC7">
        <w:rPr>
          <w:szCs w:val="24"/>
          <w:lang w:val="id-ID"/>
        </w:rPr>
        <w:t xml:space="preserve">. The </w:t>
      </w:r>
      <w:proofErr w:type="spellStart"/>
      <w:r w:rsidRPr="00840DC7">
        <w:rPr>
          <w:szCs w:val="24"/>
          <w:lang w:val="id-ID"/>
        </w:rPr>
        <w:t>inflation</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financial</w:t>
      </w:r>
      <w:proofErr w:type="spellEnd"/>
      <w:r w:rsidRPr="00840DC7">
        <w:rPr>
          <w:szCs w:val="24"/>
          <w:lang w:val="id-ID"/>
        </w:rPr>
        <w:t xml:space="preserve"> </w:t>
      </w:r>
      <w:proofErr w:type="spellStart"/>
      <w:r w:rsidRPr="00840DC7">
        <w:rPr>
          <w:szCs w:val="24"/>
          <w:lang w:val="id-ID"/>
        </w:rPr>
        <w:t>performance</w:t>
      </w:r>
      <w:proofErr w:type="spellEnd"/>
      <w:r w:rsidRPr="00840DC7">
        <w:rPr>
          <w:szCs w:val="24"/>
          <w:lang w:val="id-ID"/>
        </w:rPr>
        <w:t xml:space="preserve"> </w:t>
      </w:r>
      <w:proofErr w:type="spellStart"/>
      <w:r w:rsidRPr="00840DC7">
        <w:rPr>
          <w:szCs w:val="24"/>
          <w:lang w:val="id-ID"/>
        </w:rPr>
        <w:t>shows</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results</w:t>
      </w:r>
      <w:proofErr w:type="spellEnd"/>
      <w:r w:rsidRPr="00840DC7">
        <w:rPr>
          <w:szCs w:val="24"/>
          <w:lang w:val="id-ID"/>
        </w:rPr>
        <w:t xml:space="preserve"> </w:t>
      </w:r>
      <w:proofErr w:type="spellStart"/>
      <w:r w:rsidRPr="00840DC7">
        <w:rPr>
          <w:szCs w:val="24"/>
          <w:lang w:val="id-ID"/>
        </w:rPr>
        <w:t>cannot</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original</w:t>
      </w:r>
      <w:proofErr w:type="spellEnd"/>
      <w:r w:rsidRPr="00840DC7">
        <w:rPr>
          <w:szCs w:val="24"/>
          <w:lang w:val="id-ID"/>
        </w:rPr>
        <w:t xml:space="preserve"> </w:t>
      </w:r>
      <w:proofErr w:type="spellStart"/>
      <w:r w:rsidRPr="00840DC7">
        <w:rPr>
          <w:szCs w:val="24"/>
          <w:lang w:val="id-ID"/>
        </w:rPr>
        <w:t>sample</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-0.136 </w:t>
      </w:r>
      <w:proofErr w:type="spellStart"/>
      <w:r w:rsidRPr="00840DC7">
        <w:rPr>
          <w:szCs w:val="24"/>
          <w:lang w:val="id-ID"/>
        </w:rPr>
        <w:t>and</w:t>
      </w:r>
      <w:proofErr w:type="spellEnd"/>
      <w:r w:rsidRPr="00840DC7">
        <w:rPr>
          <w:szCs w:val="24"/>
          <w:lang w:val="id-ID"/>
        </w:rPr>
        <w:t xml:space="preserve"> t-</w:t>
      </w:r>
      <w:proofErr w:type="spellStart"/>
      <w:r w:rsidRPr="00840DC7">
        <w:rPr>
          <w:szCs w:val="24"/>
          <w:lang w:val="id-ID"/>
        </w:rPr>
        <w:t>statistic</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0.516 &lt; 1.96. The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w:t>
      </w:r>
      <w:proofErr w:type="spellStart"/>
      <w:r w:rsidRPr="00840DC7">
        <w:rPr>
          <w:szCs w:val="24"/>
          <w:lang w:val="id-ID"/>
        </w:rPr>
        <w:t>exchange</w:t>
      </w:r>
      <w:proofErr w:type="spellEnd"/>
      <w:r w:rsidRPr="00840DC7">
        <w:rPr>
          <w:szCs w:val="24"/>
          <w:lang w:val="id-ID"/>
        </w:rPr>
        <w:t xml:space="preserve"> </w:t>
      </w:r>
      <w:proofErr w:type="spellStart"/>
      <w:r w:rsidRPr="00840DC7">
        <w:rPr>
          <w:szCs w:val="24"/>
          <w:lang w:val="id-ID"/>
        </w:rPr>
        <w:t>rate</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financial</w:t>
      </w:r>
      <w:proofErr w:type="spellEnd"/>
      <w:r w:rsidRPr="00840DC7">
        <w:rPr>
          <w:szCs w:val="24"/>
          <w:lang w:val="id-ID"/>
        </w:rPr>
        <w:t xml:space="preserve"> </w:t>
      </w:r>
      <w:proofErr w:type="spellStart"/>
      <w:r w:rsidRPr="00840DC7">
        <w:rPr>
          <w:szCs w:val="24"/>
          <w:lang w:val="id-ID"/>
        </w:rPr>
        <w:t>performance</w:t>
      </w:r>
      <w:proofErr w:type="spellEnd"/>
      <w:r w:rsidRPr="00840DC7">
        <w:rPr>
          <w:szCs w:val="24"/>
          <w:lang w:val="id-ID"/>
        </w:rPr>
        <w:t xml:space="preserve"> </w:t>
      </w:r>
      <w:proofErr w:type="spellStart"/>
      <w:r w:rsidRPr="00840DC7">
        <w:rPr>
          <w:szCs w:val="24"/>
          <w:lang w:val="id-ID"/>
        </w:rPr>
        <w:t>shows</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results</w:t>
      </w:r>
      <w:proofErr w:type="spellEnd"/>
      <w:r w:rsidRPr="00840DC7">
        <w:rPr>
          <w:szCs w:val="24"/>
          <w:lang w:val="id-ID"/>
        </w:rPr>
        <w:t xml:space="preserve"> </w:t>
      </w:r>
      <w:proofErr w:type="spellStart"/>
      <w:r w:rsidRPr="00840DC7">
        <w:rPr>
          <w:szCs w:val="24"/>
          <w:lang w:val="id-ID"/>
        </w:rPr>
        <w:t>cannot</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original</w:t>
      </w:r>
      <w:proofErr w:type="spellEnd"/>
      <w:r w:rsidRPr="00840DC7">
        <w:rPr>
          <w:szCs w:val="24"/>
          <w:lang w:val="id-ID"/>
        </w:rPr>
        <w:t xml:space="preserve"> </w:t>
      </w:r>
      <w:proofErr w:type="spellStart"/>
      <w:r w:rsidRPr="00840DC7">
        <w:rPr>
          <w:szCs w:val="24"/>
          <w:lang w:val="id-ID"/>
        </w:rPr>
        <w:t>sample</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0.164 </w:t>
      </w:r>
      <w:proofErr w:type="spellStart"/>
      <w:r w:rsidRPr="00840DC7">
        <w:rPr>
          <w:szCs w:val="24"/>
          <w:lang w:val="id-ID"/>
        </w:rPr>
        <w:t>and</w:t>
      </w:r>
      <w:proofErr w:type="spellEnd"/>
      <w:r w:rsidRPr="00840DC7">
        <w:rPr>
          <w:szCs w:val="24"/>
          <w:lang w:val="id-ID"/>
        </w:rPr>
        <w:t xml:space="preserve"> t-</w:t>
      </w:r>
      <w:proofErr w:type="spellStart"/>
      <w:r w:rsidRPr="00840DC7">
        <w:rPr>
          <w:szCs w:val="24"/>
          <w:lang w:val="id-ID"/>
        </w:rPr>
        <w:t>statistic</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0.616 &lt;1.96. </w:t>
      </w:r>
      <w:proofErr w:type="spellStart"/>
      <w:r w:rsidRPr="00840DC7">
        <w:rPr>
          <w:szCs w:val="24"/>
          <w:lang w:val="id-ID"/>
        </w:rPr>
        <w:t>So</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seventh</w:t>
      </w:r>
      <w:proofErr w:type="spellEnd"/>
      <w:r w:rsidRPr="00840DC7">
        <w:rPr>
          <w:szCs w:val="24"/>
          <w:lang w:val="id-ID"/>
        </w:rPr>
        <w:t xml:space="preserve"> </w:t>
      </w:r>
      <w:proofErr w:type="spellStart"/>
      <w:r w:rsidRPr="00840DC7">
        <w:rPr>
          <w:szCs w:val="24"/>
          <w:lang w:val="id-ID"/>
        </w:rPr>
        <w:t>hypothesis</w:t>
      </w:r>
      <w:proofErr w:type="spellEnd"/>
      <w:r w:rsidRPr="00840DC7">
        <w:rPr>
          <w:szCs w:val="24"/>
          <w:lang w:val="id-ID"/>
        </w:rPr>
        <w:t xml:space="preserve"> in </w:t>
      </w:r>
      <w:proofErr w:type="spellStart"/>
      <w:r w:rsidRPr="00840DC7">
        <w:rPr>
          <w:szCs w:val="24"/>
          <w:lang w:val="id-ID"/>
        </w:rPr>
        <w:t>this</w:t>
      </w:r>
      <w:proofErr w:type="spellEnd"/>
      <w:r w:rsidRPr="00840DC7">
        <w:rPr>
          <w:szCs w:val="24"/>
          <w:lang w:val="id-ID"/>
        </w:rPr>
        <w:t xml:space="preserve"> study </w:t>
      </w:r>
      <w:proofErr w:type="spellStart"/>
      <w:r w:rsidRPr="00840DC7">
        <w:rPr>
          <w:szCs w:val="24"/>
          <w:lang w:val="id-ID"/>
        </w:rPr>
        <w:t>is</w:t>
      </w:r>
      <w:proofErr w:type="spellEnd"/>
      <w:r w:rsidRPr="00840DC7">
        <w:rPr>
          <w:szCs w:val="24"/>
          <w:lang w:val="id-ID"/>
        </w:rPr>
        <w:t xml:space="preserve"> </w:t>
      </w:r>
      <w:proofErr w:type="spellStart"/>
      <w:r w:rsidRPr="00840DC7">
        <w:rPr>
          <w:szCs w:val="24"/>
          <w:lang w:val="id-ID"/>
        </w:rPr>
        <w:t>rejected</w:t>
      </w:r>
      <w:proofErr w:type="spellEnd"/>
      <w:r w:rsidRPr="00840DC7">
        <w:rPr>
          <w:szCs w:val="24"/>
          <w:lang w:val="id-ID"/>
        </w:rPr>
        <w:t xml:space="preserve">. The </w:t>
      </w:r>
      <w:proofErr w:type="spellStart"/>
      <w:r w:rsidRPr="00840DC7">
        <w:rPr>
          <w:szCs w:val="24"/>
          <w:lang w:val="id-ID"/>
        </w:rPr>
        <w:t>gross</w:t>
      </w:r>
      <w:proofErr w:type="spellEnd"/>
      <w:r w:rsidRPr="00840DC7">
        <w:rPr>
          <w:szCs w:val="24"/>
          <w:lang w:val="id-ID"/>
        </w:rPr>
        <w:t xml:space="preserve"> </w:t>
      </w:r>
      <w:proofErr w:type="spellStart"/>
      <w:r w:rsidRPr="00840DC7">
        <w:rPr>
          <w:szCs w:val="24"/>
          <w:lang w:val="id-ID"/>
        </w:rPr>
        <w:t>domestic</w:t>
      </w:r>
      <w:proofErr w:type="spellEnd"/>
      <w:r w:rsidRPr="00840DC7">
        <w:rPr>
          <w:szCs w:val="24"/>
          <w:lang w:val="id-ID"/>
        </w:rPr>
        <w:t xml:space="preserve"> </w:t>
      </w:r>
      <w:proofErr w:type="spellStart"/>
      <w:r w:rsidRPr="00840DC7">
        <w:rPr>
          <w:szCs w:val="24"/>
          <w:lang w:val="id-ID"/>
        </w:rPr>
        <w:t>product</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on</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financial</w:t>
      </w:r>
      <w:proofErr w:type="spellEnd"/>
      <w:r w:rsidRPr="00840DC7">
        <w:rPr>
          <w:szCs w:val="24"/>
          <w:lang w:val="id-ID"/>
        </w:rPr>
        <w:t xml:space="preserve"> </w:t>
      </w:r>
      <w:proofErr w:type="spellStart"/>
      <w:r w:rsidRPr="00840DC7">
        <w:rPr>
          <w:szCs w:val="24"/>
          <w:lang w:val="id-ID"/>
        </w:rPr>
        <w:t>performance</w:t>
      </w:r>
      <w:proofErr w:type="spellEnd"/>
      <w:r w:rsidRPr="00840DC7">
        <w:rPr>
          <w:szCs w:val="24"/>
          <w:lang w:val="id-ID"/>
        </w:rPr>
        <w:t xml:space="preserve"> </w:t>
      </w:r>
      <w:proofErr w:type="spellStart"/>
      <w:r w:rsidRPr="00840DC7">
        <w:rPr>
          <w:szCs w:val="24"/>
          <w:lang w:val="id-ID"/>
        </w:rPr>
        <w:t>shows</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results</w:t>
      </w:r>
      <w:proofErr w:type="spellEnd"/>
      <w:r w:rsidRPr="00840DC7">
        <w:rPr>
          <w:szCs w:val="24"/>
          <w:lang w:val="id-ID"/>
        </w:rPr>
        <w:t xml:space="preserve"> </w:t>
      </w:r>
      <w:proofErr w:type="spellStart"/>
      <w:r w:rsidRPr="00840DC7">
        <w:rPr>
          <w:szCs w:val="24"/>
          <w:lang w:val="id-ID"/>
        </w:rPr>
        <w:t>cannot</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moderated</w:t>
      </w:r>
      <w:proofErr w:type="spellEnd"/>
      <w:r w:rsidRPr="00840DC7">
        <w:rPr>
          <w:szCs w:val="24"/>
          <w:lang w:val="id-ID"/>
        </w:rPr>
        <w:t xml:space="preserve">, </w:t>
      </w:r>
      <w:proofErr w:type="spellStart"/>
      <w:r w:rsidRPr="00840DC7">
        <w:rPr>
          <w:szCs w:val="24"/>
          <w:lang w:val="id-ID"/>
        </w:rPr>
        <w:t>with</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original</w:t>
      </w:r>
      <w:proofErr w:type="spellEnd"/>
      <w:r w:rsidRPr="00840DC7">
        <w:rPr>
          <w:szCs w:val="24"/>
          <w:lang w:val="id-ID"/>
        </w:rPr>
        <w:t xml:space="preserve"> </w:t>
      </w:r>
      <w:proofErr w:type="spellStart"/>
      <w:r w:rsidRPr="00840DC7">
        <w:rPr>
          <w:szCs w:val="24"/>
          <w:lang w:val="id-ID"/>
        </w:rPr>
        <w:t>sample</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of</w:t>
      </w:r>
      <w:proofErr w:type="spellEnd"/>
      <w:r w:rsidRPr="00840DC7">
        <w:rPr>
          <w:szCs w:val="24"/>
          <w:lang w:val="id-ID"/>
        </w:rPr>
        <w:t xml:space="preserve"> -0.070 </w:t>
      </w:r>
      <w:proofErr w:type="spellStart"/>
      <w:r w:rsidRPr="00840DC7">
        <w:rPr>
          <w:szCs w:val="24"/>
          <w:lang w:val="id-ID"/>
        </w:rPr>
        <w:t>and</w:t>
      </w:r>
      <w:proofErr w:type="spellEnd"/>
      <w:r w:rsidRPr="00840DC7">
        <w:rPr>
          <w:szCs w:val="24"/>
          <w:lang w:val="id-ID"/>
        </w:rPr>
        <w:t xml:space="preserve"> t-</w:t>
      </w:r>
      <w:proofErr w:type="spellStart"/>
      <w:r w:rsidRPr="00840DC7">
        <w:rPr>
          <w:szCs w:val="24"/>
          <w:lang w:val="id-ID"/>
        </w:rPr>
        <w:t>statistic</w:t>
      </w:r>
      <w:proofErr w:type="spellEnd"/>
      <w:r w:rsidRPr="00840DC7">
        <w:rPr>
          <w:szCs w:val="24"/>
          <w:lang w:val="id-ID"/>
        </w:rPr>
        <w:t xml:space="preserve"> 0.468 &lt;1.96). </w:t>
      </w:r>
      <w:proofErr w:type="spellStart"/>
      <w:r w:rsidRPr="00840DC7">
        <w:rPr>
          <w:szCs w:val="24"/>
          <w:lang w:val="id-ID"/>
        </w:rPr>
        <w:t>So</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eighth</w:t>
      </w:r>
      <w:proofErr w:type="spellEnd"/>
      <w:r w:rsidRPr="00840DC7">
        <w:rPr>
          <w:szCs w:val="24"/>
          <w:lang w:val="id-ID"/>
        </w:rPr>
        <w:t xml:space="preserve"> </w:t>
      </w:r>
      <w:proofErr w:type="spellStart"/>
      <w:r w:rsidRPr="00840DC7">
        <w:rPr>
          <w:szCs w:val="24"/>
          <w:lang w:val="id-ID"/>
        </w:rPr>
        <w:t>hypothesis</w:t>
      </w:r>
      <w:proofErr w:type="spellEnd"/>
      <w:r w:rsidRPr="00840DC7">
        <w:rPr>
          <w:szCs w:val="24"/>
          <w:lang w:val="id-ID"/>
        </w:rPr>
        <w:t xml:space="preserve"> in </w:t>
      </w:r>
      <w:proofErr w:type="spellStart"/>
      <w:r w:rsidRPr="00840DC7">
        <w:rPr>
          <w:szCs w:val="24"/>
          <w:lang w:val="id-ID"/>
        </w:rPr>
        <w:t>this</w:t>
      </w:r>
      <w:proofErr w:type="spellEnd"/>
      <w:r w:rsidRPr="00840DC7">
        <w:rPr>
          <w:szCs w:val="24"/>
          <w:lang w:val="id-ID"/>
        </w:rPr>
        <w:t xml:space="preserve"> study </w:t>
      </w:r>
      <w:proofErr w:type="spellStart"/>
      <w:r w:rsidRPr="00840DC7">
        <w:rPr>
          <w:szCs w:val="24"/>
          <w:lang w:val="id-ID"/>
        </w:rPr>
        <w:t>was</w:t>
      </w:r>
      <w:proofErr w:type="spellEnd"/>
      <w:r w:rsidRPr="00840DC7">
        <w:rPr>
          <w:szCs w:val="24"/>
          <w:lang w:val="id-ID"/>
        </w:rPr>
        <w:t xml:space="preserve"> </w:t>
      </w:r>
      <w:proofErr w:type="spellStart"/>
      <w:r w:rsidRPr="00840DC7">
        <w:rPr>
          <w:szCs w:val="24"/>
          <w:lang w:val="id-ID"/>
        </w:rPr>
        <w:t>rejected</w:t>
      </w:r>
      <w:proofErr w:type="spellEnd"/>
      <w:r w:rsidRPr="00840DC7">
        <w:rPr>
          <w:szCs w:val="24"/>
          <w:lang w:val="id-ID"/>
        </w:rPr>
        <w:t>.</w:t>
      </w:r>
    </w:p>
    <w:p w14:paraId="03F44882" w14:textId="77777777" w:rsidR="00840DC7" w:rsidRDefault="00840DC7" w:rsidP="00840DC7">
      <w:pPr>
        <w:widowControl w:val="0"/>
        <w:autoSpaceDE w:val="0"/>
        <w:autoSpaceDN w:val="0"/>
        <w:jc w:val="both"/>
        <w:rPr>
          <w:b/>
          <w:bCs/>
          <w:szCs w:val="24"/>
          <w:lang w:val="id-ID"/>
        </w:rPr>
      </w:pPr>
    </w:p>
    <w:p w14:paraId="4EE4F2F3" w14:textId="1BE00ECF" w:rsidR="00840DC7" w:rsidRDefault="00840DC7" w:rsidP="00840DC7">
      <w:pPr>
        <w:widowControl w:val="0"/>
        <w:autoSpaceDE w:val="0"/>
        <w:autoSpaceDN w:val="0"/>
        <w:jc w:val="both"/>
        <w:rPr>
          <w:b/>
          <w:bCs/>
          <w:szCs w:val="24"/>
          <w:lang w:val="id-ID"/>
        </w:rPr>
      </w:pPr>
      <w:r>
        <w:rPr>
          <w:b/>
          <w:bCs/>
          <w:szCs w:val="24"/>
        </w:rPr>
        <w:t xml:space="preserve">3.1.5. </w:t>
      </w:r>
      <w:proofErr w:type="spellStart"/>
      <w:r w:rsidRPr="00840DC7">
        <w:rPr>
          <w:b/>
          <w:bCs/>
          <w:szCs w:val="24"/>
          <w:lang w:val="id-ID"/>
        </w:rPr>
        <w:t>Goodness</w:t>
      </w:r>
      <w:proofErr w:type="spellEnd"/>
      <w:r w:rsidRPr="00840DC7">
        <w:rPr>
          <w:b/>
          <w:bCs/>
          <w:szCs w:val="24"/>
          <w:lang w:val="id-ID"/>
        </w:rPr>
        <w:t xml:space="preserve"> </w:t>
      </w:r>
      <w:proofErr w:type="spellStart"/>
      <w:r w:rsidRPr="00840DC7">
        <w:rPr>
          <w:b/>
          <w:bCs/>
          <w:szCs w:val="24"/>
          <w:lang w:val="id-ID"/>
        </w:rPr>
        <w:t>Of</w:t>
      </w:r>
      <w:proofErr w:type="spellEnd"/>
      <w:r w:rsidRPr="00840DC7">
        <w:rPr>
          <w:b/>
          <w:bCs/>
          <w:szCs w:val="24"/>
          <w:lang w:val="id-ID"/>
        </w:rPr>
        <w:t xml:space="preserve"> Fit Model </w:t>
      </w:r>
      <w:proofErr w:type="spellStart"/>
      <w:r w:rsidRPr="00840DC7">
        <w:rPr>
          <w:b/>
          <w:bCs/>
          <w:szCs w:val="24"/>
          <w:lang w:val="id-ID"/>
        </w:rPr>
        <w:t>Test</w:t>
      </w:r>
      <w:proofErr w:type="spellEnd"/>
    </w:p>
    <w:p w14:paraId="7DA4E45D" w14:textId="6ED34CBA" w:rsidR="00840DC7" w:rsidRPr="00840DC7" w:rsidRDefault="00840DC7" w:rsidP="00840DC7">
      <w:pPr>
        <w:widowControl w:val="0"/>
        <w:autoSpaceDE w:val="0"/>
        <w:autoSpaceDN w:val="0"/>
        <w:ind w:left="2880" w:firstLine="720"/>
        <w:jc w:val="both"/>
        <w:rPr>
          <w:szCs w:val="24"/>
          <w:lang w:val="id-ID"/>
        </w:rPr>
      </w:pPr>
      <w:proofErr w:type="spellStart"/>
      <w:r w:rsidRPr="00840DC7">
        <w:rPr>
          <w:szCs w:val="24"/>
          <w:lang w:val="id-ID"/>
        </w:rPr>
        <w:t>Table</w:t>
      </w:r>
      <w:proofErr w:type="spellEnd"/>
      <w:r w:rsidRPr="00840DC7">
        <w:rPr>
          <w:szCs w:val="24"/>
          <w:lang w:val="id-ID"/>
        </w:rPr>
        <w:t xml:space="preserve"> </w:t>
      </w:r>
      <w:r w:rsidR="001E1874">
        <w:rPr>
          <w:szCs w:val="24"/>
        </w:rPr>
        <w:t>4</w:t>
      </w:r>
      <w:r w:rsidRPr="00840DC7">
        <w:rPr>
          <w:szCs w:val="24"/>
          <w:lang w:val="id-ID"/>
        </w:rPr>
        <w:t>. R-</w:t>
      </w:r>
      <w:proofErr w:type="spellStart"/>
      <w:r w:rsidRPr="00840DC7">
        <w:rPr>
          <w:szCs w:val="24"/>
          <w:lang w:val="id-ID"/>
        </w:rPr>
        <w:t>square</w:t>
      </w:r>
      <w:proofErr w:type="spellEnd"/>
      <w:r w:rsidRPr="00840DC7">
        <w:rPr>
          <w:szCs w:val="24"/>
          <w:lang w:val="id-ID"/>
        </w:rPr>
        <w:tab/>
      </w:r>
      <w:r w:rsidRPr="00840DC7">
        <w:rPr>
          <w:szCs w:val="24"/>
          <w:lang w:val="id-ID"/>
        </w:rPr>
        <w:tab/>
      </w:r>
    </w:p>
    <w:tbl>
      <w:tblPr>
        <w:tblStyle w:val="TableGrid4"/>
        <w:tblpPr w:leftFromText="180" w:rightFromText="180" w:vertAnchor="text" w:horzAnchor="margin" w:tblpXSpec="center" w:tblpY="2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094"/>
      </w:tblGrid>
      <w:tr w:rsidR="00840DC7" w:rsidRPr="00945AAF" w14:paraId="42A18ADA" w14:textId="77777777" w:rsidTr="00A12505">
        <w:tc>
          <w:tcPr>
            <w:tcW w:w="1875" w:type="dxa"/>
            <w:tcBorders>
              <w:top w:val="single" w:sz="4" w:space="0" w:color="auto"/>
              <w:bottom w:val="single" w:sz="4" w:space="0" w:color="auto"/>
            </w:tcBorders>
          </w:tcPr>
          <w:p w14:paraId="59780DEE" w14:textId="77777777" w:rsidR="00840DC7" w:rsidRPr="00945AAF" w:rsidRDefault="00840DC7" w:rsidP="00A12505">
            <w:pPr>
              <w:spacing w:line="360" w:lineRule="auto"/>
              <w:jc w:val="center"/>
              <w:rPr>
                <w:rFonts w:ascii="Times New Roman" w:eastAsia="Calibri" w:hAnsi="Times New Roman" w:cs="Times New Roman"/>
                <w:sz w:val="20"/>
              </w:rPr>
            </w:pPr>
          </w:p>
        </w:tc>
        <w:tc>
          <w:tcPr>
            <w:tcW w:w="2094" w:type="dxa"/>
            <w:tcBorders>
              <w:top w:val="single" w:sz="4" w:space="0" w:color="auto"/>
              <w:bottom w:val="single" w:sz="4" w:space="0" w:color="auto"/>
            </w:tcBorders>
            <w:hideMark/>
          </w:tcPr>
          <w:p w14:paraId="6DBB39B3" w14:textId="77777777" w:rsidR="00840DC7" w:rsidRPr="00945AAF" w:rsidRDefault="00840DC7" w:rsidP="00A12505">
            <w:pPr>
              <w:spacing w:line="360" w:lineRule="auto"/>
              <w:jc w:val="center"/>
              <w:rPr>
                <w:rFonts w:ascii="Times New Roman" w:eastAsia="Calibri" w:hAnsi="Times New Roman" w:cs="Times New Roman"/>
                <w:sz w:val="20"/>
              </w:rPr>
            </w:pPr>
            <w:r w:rsidRPr="00945AAF">
              <w:rPr>
                <w:rFonts w:ascii="Times New Roman" w:eastAsia="Calibri" w:hAnsi="Times New Roman" w:cs="Times New Roman"/>
                <w:sz w:val="20"/>
              </w:rPr>
              <w:t>R-</w:t>
            </w:r>
            <w:proofErr w:type="spellStart"/>
            <w:r w:rsidRPr="00945AAF">
              <w:rPr>
                <w:rFonts w:ascii="Times New Roman" w:eastAsia="Calibri" w:hAnsi="Times New Roman" w:cs="Times New Roman"/>
                <w:sz w:val="20"/>
              </w:rPr>
              <w:t>Square</w:t>
            </w:r>
            <w:proofErr w:type="spellEnd"/>
          </w:p>
        </w:tc>
      </w:tr>
      <w:tr w:rsidR="00840DC7" w:rsidRPr="00945AAF" w14:paraId="325FC7A2" w14:textId="77777777" w:rsidTr="00A12505">
        <w:trPr>
          <w:trHeight w:val="331"/>
        </w:trPr>
        <w:tc>
          <w:tcPr>
            <w:tcW w:w="1875" w:type="dxa"/>
            <w:tcBorders>
              <w:top w:val="single" w:sz="4" w:space="0" w:color="auto"/>
            </w:tcBorders>
            <w:vAlign w:val="center"/>
            <w:hideMark/>
          </w:tcPr>
          <w:p w14:paraId="4A58ACBB" w14:textId="77777777" w:rsidR="00840DC7" w:rsidRPr="00945AAF" w:rsidRDefault="00840DC7" w:rsidP="00A12505">
            <w:pPr>
              <w:spacing w:line="360" w:lineRule="auto"/>
              <w:jc w:val="center"/>
              <w:rPr>
                <w:rFonts w:ascii="Times New Roman" w:eastAsia="Calibri" w:hAnsi="Times New Roman" w:cs="Times New Roman"/>
                <w:sz w:val="20"/>
              </w:rPr>
            </w:pPr>
            <w:r w:rsidRPr="00945AAF">
              <w:rPr>
                <w:rFonts w:ascii="Times New Roman" w:eastAsia="Calibri" w:hAnsi="Times New Roman" w:cs="Times New Roman"/>
                <w:sz w:val="20"/>
              </w:rPr>
              <w:t>Nilai Perusahaan</w:t>
            </w:r>
          </w:p>
        </w:tc>
        <w:tc>
          <w:tcPr>
            <w:tcW w:w="2094" w:type="dxa"/>
            <w:tcBorders>
              <w:top w:val="single" w:sz="4" w:space="0" w:color="auto"/>
            </w:tcBorders>
            <w:vAlign w:val="center"/>
            <w:hideMark/>
          </w:tcPr>
          <w:p w14:paraId="46E74C1D" w14:textId="77777777" w:rsidR="00840DC7" w:rsidRPr="00945AAF" w:rsidRDefault="00840DC7" w:rsidP="00A12505">
            <w:pPr>
              <w:spacing w:line="360" w:lineRule="auto"/>
              <w:jc w:val="center"/>
              <w:rPr>
                <w:rFonts w:ascii="Times New Roman" w:eastAsia="Calibri" w:hAnsi="Times New Roman" w:cs="Times New Roman"/>
                <w:sz w:val="20"/>
              </w:rPr>
            </w:pPr>
            <w:r w:rsidRPr="00945AAF">
              <w:rPr>
                <w:rFonts w:ascii="Times New Roman" w:eastAsia="Calibri" w:hAnsi="Times New Roman" w:cs="Times New Roman"/>
                <w:sz w:val="20"/>
              </w:rPr>
              <w:t>0,288</w:t>
            </w:r>
          </w:p>
        </w:tc>
      </w:tr>
    </w:tbl>
    <w:p w14:paraId="66C61DF4" w14:textId="77777777" w:rsidR="00840DC7" w:rsidRDefault="00840DC7" w:rsidP="00840DC7">
      <w:pPr>
        <w:widowControl w:val="0"/>
        <w:autoSpaceDE w:val="0"/>
        <w:autoSpaceDN w:val="0"/>
        <w:ind w:left="2880" w:firstLine="720"/>
        <w:jc w:val="both"/>
        <w:rPr>
          <w:b/>
          <w:bCs/>
          <w:szCs w:val="24"/>
          <w:lang w:val="id-ID"/>
        </w:rPr>
      </w:pPr>
    </w:p>
    <w:p w14:paraId="71844B16" w14:textId="7B418F9D" w:rsidR="00840DC7" w:rsidRDefault="00840DC7" w:rsidP="00840DC7">
      <w:pPr>
        <w:widowControl w:val="0"/>
        <w:autoSpaceDE w:val="0"/>
        <w:autoSpaceDN w:val="0"/>
        <w:jc w:val="both"/>
        <w:rPr>
          <w:b/>
          <w:bCs/>
          <w:szCs w:val="24"/>
          <w:lang w:val="id-ID"/>
        </w:rPr>
      </w:pPr>
    </w:p>
    <w:p w14:paraId="1D2F675C" w14:textId="3E9CE87F" w:rsidR="00840DC7" w:rsidRPr="00840DC7" w:rsidRDefault="00840DC7" w:rsidP="00840DC7">
      <w:pPr>
        <w:widowControl w:val="0"/>
        <w:autoSpaceDE w:val="0"/>
        <w:autoSpaceDN w:val="0"/>
        <w:jc w:val="both"/>
        <w:rPr>
          <w:szCs w:val="24"/>
          <w:lang w:val="id-ID"/>
        </w:rPr>
      </w:pPr>
    </w:p>
    <w:p w14:paraId="24903332" w14:textId="6FA27494" w:rsidR="00840DC7" w:rsidRPr="00840DC7" w:rsidRDefault="00840DC7" w:rsidP="00840DC7">
      <w:pPr>
        <w:widowControl w:val="0"/>
        <w:autoSpaceDE w:val="0"/>
        <w:autoSpaceDN w:val="0"/>
        <w:jc w:val="both"/>
        <w:rPr>
          <w:szCs w:val="24"/>
          <w:lang w:val="id-ID"/>
        </w:rPr>
      </w:pPr>
      <w:r w:rsidRPr="00840DC7">
        <w:rPr>
          <w:szCs w:val="24"/>
          <w:lang w:val="id-ID"/>
        </w:rPr>
        <w:t xml:space="preserve">The </w:t>
      </w:r>
      <w:proofErr w:type="spellStart"/>
      <w:r w:rsidRPr="00840DC7">
        <w:rPr>
          <w:szCs w:val="24"/>
          <w:lang w:val="id-ID"/>
        </w:rPr>
        <w:t>table</w:t>
      </w:r>
      <w:proofErr w:type="spellEnd"/>
      <w:r w:rsidRPr="00840DC7">
        <w:rPr>
          <w:szCs w:val="24"/>
          <w:lang w:val="id-ID"/>
        </w:rPr>
        <w:t xml:space="preserve"> </w:t>
      </w:r>
      <w:proofErr w:type="spellStart"/>
      <w:r w:rsidRPr="00840DC7">
        <w:rPr>
          <w:szCs w:val="24"/>
          <w:lang w:val="id-ID"/>
        </w:rPr>
        <w:t>above</w:t>
      </w:r>
      <w:proofErr w:type="spellEnd"/>
      <w:r w:rsidRPr="00840DC7">
        <w:rPr>
          <w:szCs w:val="24"/>
          <w:lang w:val="id-ID"/>
        </w:rPr>
        <w:t xml:space="preserve"> </w:t>
      </w:r>
      <w:proofErr w:type="spellStart"/>
      <w:r w:rsidRPr="00840DC7">
        <w:rPr>
          <w:szCs w:val="24"/>
          <w:lang w:val="id-ID"/>
        </w:rPr>
        <w:t>explains</w:t>
      </w:r>
      <w:proofErr w:type="spellEnd"/>
      <w:r w:rsidRPr="00840DC7">
        <w:rPr>
          <w:szCs w:val="24"/>
          <w:lang w:val="id-ID"/>
        </w:rPr>
        <w:t xml:space="preserve"> </w:t>
      </w:r>
      <w:proofErr w:type="spellStart"/>
      <w:r w:rsidRPr="00840DC7">
        <w:rPr>
          <w:szCs w:val="24"/>
          <w:lang w:val="id-ID"/>
        </w:rPr>
        <w:t>that</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construct</w:t>
      </w:r>
      <w:proofErr w:type="spellEnd"/>
      <w:r w:rsidRPr="00840DC7">
        <w:rPr>
          <w:szCs w:val="24"/>
          <w:lang w:val="id-ID"/>
        </w:rPr>
        <w:t xml:space="preserve"> </w:t>
      </w:r>
      <w:proofErr w:type="spellStart"/>
      <w:r w:rsidRPr="00840DC7">
        <w:rPr>
          <w:szCs w:val="24"/>
          <w:lang w:val="id-ID"/>
        </w:rPr>
        <w:t>variability</w:t>
      </w:r>
      <w:proofErr w:type="spellEnd"/>
      <w:r w:rsidRPr="00840DC7">
        <w:rPr>
          <w:szCs w:val="24"/>
          <w:lang w:val="id-ID"/>
        </w:rPr>
        <w:t xml:space="preserve"> </w:t>
      </w:r>
      <w:proofErr w:type="spellStart"/>
      <w:r w:rsidRPr="00840DC7">
        <w:rPr>
          <w:szCs w:val="24"/>
          <w:lang w:val="id-ID"/>
        </w:rPr>
        <w:t>reflected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firm</w:t>
      </w:r>
      <w:proofErr w:type="spellEnd"/>
      <w:r w:rsidRPr="00840DC7">
        <w:rPr>
          <w:szCs w:val="24"/>
          <w:lang w:val="id-ID"/>
        </w:rPr>
        <w:t xml:space="preserve"> </w:t>
      </w:r>
      <w:proofErr w:type="spellStart"/>
      <w:r w:rsidRPr="00840DC7">
        <w:rPr>
          <w:szCs w:val="24"/>
          <w:lang w:val="id-ID"/>
        </w:rPr>
        <w:t>value</w:t>
      </w:r>
      <w:proofErr w:type="spellEnd"/>
      <w:r w:rsidRPr="00840DC7">
        <w:rPr>
          <w:szCs w:val="24"/>
          <w:lang w:val="id-ID"/>
        </w:rPr>
        <w:t xml:space="preserve"> </w:t>
      </w:r>
      <w:proofErr w:type="spellStart"/>
      <w:r w:rsidRPr="00840DC7">
        <w:rPr>
          <w:szCs w:val="24"/>
          <w:lang w:val="id-ID"/>
        </w:rPr>
        <w:t>can</w:t>
      </w:r>
      <w:proofErr w:type="spellEnd"/>
      <w:r w:rsidRPr="00840DC7">
        <w:rPr>
          <w:szCs w:val="24"/>
          <w:lang w:val="id-ID"/>
        </w:rPr>
        <w:t xml:space="preserve"> </w:t>
      </w:r>
      <w:proofErr w:type="spellStart"/>
      <w:r w:rsidRPr="00840DC7">
        <w:rPr>
          <w:szCs w:val="24"/>
          <w:lang w:val="id-ID"/>
        </w:rPr>
        <w:t>only</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explained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28.8%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capital</w:t>
      </w:r>
      <w:proofErr w:type="spellEnd"/>
      <w:r w:rsidRPr="00840DC7">
        <w:rPr>
          <w:szCs w:val="24"/>
          <w:lang w:val="id-ID"/>
        </w:rPr>
        <w:t xml:space="preserve"> </w:t>
      </w:r>
      <w:proofErr w:type="spellStart"/>
      <w:r w:rsidRPr="00840DC7">
        <w:rPr>
          <w:szCs w:val="24"/>
          <w:lang w:val="id-ID"/>
        </w:rPr>
        <w:t>structure</w:t>
      </w:r>
      <w:proofErr w:type="spellEnd"/>
      <w:r w:rsidRPr="00840DC7">
        <w:rPr>
          <w:szCs w:val="24"/>
          <w:lang w:val="id-ID"/>
        </w:rPr>
        <w:t xml:space="preserve">, </w:t>
      </w:r>
      <w:proofErr w:type="spellStart"/>
      <w:r w:rsidRPr="00840DC7">
        <w:rPr>
          <w:szCs w:val="24"/>
          <w:lang w:val="id-ID"/>
        </w:rPr>
        <w:t>inflation</w:t>
      </w:r>
      <w:proofErr w:type="spellEnd"/>
      <w:r w:rsidRPr="00840DC7">
        <w:rPr>
          <w:szCs w:val="24"/>
          <w:lang w:val="id-ID"/>
        </w:rPr>
        <w:t xml:space="preserve">, </w:t>
      </w:r>
      <w:proofErr w:type="spellStart"/>
      <w:r w:rsidRPr="00840DC7">
        <w:rPr>
          <w:szCs w:val="24"/>
          <w:lang w:val="id-ID"/>
        </w:rPr>
        <w:t>exchange</w:t>
      </w:r>
      <w:proofErr w:type="spellEnd"/>
      <w:r w:rsidRPr="00840DC7">
        <w:rPr>
          <w:szCs w:val="24"/>
          <w:lang w:val="id-ID"/>
        </w:rPr>
        <w:t xml:space="preserve"> </w:t>
      </w:r>
      <w:proofErr w:type="spellStart"/>
      <w:r w:rsidRPr="00840DC7">
        <w:rPr>
          <w:szCs w:val="24"/>
          <w:lang w:val="id-ID"/>
        </w:rPr>
        <w:t>rate</w:t>
      </w:r>
      <w:proofErr w:type="spellEnd"/>
      <w:r w:rsidRPr="00840DC7">
        <w:rPr>
          <w:szCs w:val="24"/>
          <w:lang w:val="id-ID"/>
        </w:rPr>
        <w:t xml:space="preserve"> </w:t>
      </w:r>
      <w:proofErr w:type="spellStart"/>
      <w:r w:rsidRPr="00840DC7">
        <w:rPr>
          <w:szCs w:val="24"/>
          <w:lang w:val="id-ID"/>
        </w:rPr>
        <w:t>and</w:t>
      </w:r>
      <w:proofErr w:type="spellEnd"/>
      <w:r w:rsidRPr="00840DC7">
        <w:rPr>
          <w:szCs w:val="24"/>
          <w:lang w:val="id-ID"/>
        </w:rPr>
        <w:t xml:space="preserve"> GDP </w:t>
      </w:r>
      <w:proofErr w:type="spellStart"/>
      <w:r w:rsidRPr="00840DC7">
        <w:rPr>
          <w:szCs w:val="24"/>
          <w:lang w:val="id-ID"/>
        </w:rPr>
        <w:t>constructs</w:t>
      </w:r>
      <w:proofErr w:type="spellEnd"/>
      <w:r w:rsidRPr="00840DC7">
        <w:rPr>
          <w:szCs w:val="24"/>
          <w:lang w:val="id-ID"/>
        </w:rPr>
        <w:t xml:space="preserve">, </w:t>
      </w:r>
      <w:proofErr w:type="spellStart"/>
      <w:r w:rsidRPr="00840DC7">
        <w:rPr>
          <w:szCs w:val="24"/>
          <w:lang w:val="id-ID"/>
        </w:rPr>
        <w:t>while</w:t>
      </w:r>
      <w:proofErr w:type="spellEnd"/>
      <w:r w:rsidRPr="00840DC7">
        <w:rPr>
          <w:szCs w:val="24"/>
          <w:lang w:val="id-ID"/>
        </w:rPr>
        <w:t xml:space="preserve"> </w:t>
      </w:r>
      <w:proofErr w:type="spellStart"/>
      <w:r w:rsidRPr="00840DC7">
        <w:rPr>
          <w:szCs w:val="24"/>
          <w:lang w:val="id-ID"/>
        </w:rPr>
        <w:t>the</w:t>
      </w:r>
      <w:proofErr w:type="spellEnd"/>
      <w:r w:rsidRPr="00840DC7">
        <w:rPr>
          <w:szCs w:val="24"/>
          <w:lang w:val="id-ID"/>
        </w:rPr>
        <w:t xml:space="preserve"> </w:t>
      </w:r>
      <w:proofErr w:type="spellStart"/>
      <w:r w:rsidRPr="00840DC7">
        <w:rPr>
          <w:szCs w:val="24"/>
          <w:lang w:val="id-ID"/>
        </w:rPr>
        <w:t>remaining</w:t>
      </w:r>
      <w:proofErr w:type="spellEnd"/>
      <w:r w:rsidRPr="00840DC7">
        <w:rPr>
          <w:szCs w:val="24"/>
          <w:lang w:val="id-ID"/>
        </w:rPr>
        <w:t xml:space="preserve"> 71.2% </w:t>
      </w:r>
      <w:proofErr w:type="spellStart"/>
      <w:r w:rsidRPr="00840DC7">
        <w:rPr>
          <w:szCs w:val="24"/>
          <w:lang w:val="id-ID"/>
        </w:rPr>
        <w:t>can</w:t>
      </w:r>
      <w:proofErr w:type="spellEnd"/>
      <w:r w:rsidRPr="00840DC7">
        <w:rPr>
          <w:szCs w:val="24"/>
          <w:lang w:val="id-ID"/>
        </w:rPr>
        <w:t xml:space="preserve"> </w:t>
      </w:r>
      <w:proofErr w:type="spellStart"/>
      <w:r w:rsidRPr="00840DC7">
        <w:rPr>
          <w:szCs w:val="24"/>
          <w:lang w:val="id-ID"/>
        </w:rPr>
        <w:t>be</w:t>
      </w:r>
      <w:proofErr w:type="spellEnd"/>
      <w:r w:rsidRPr="00840DC7">
        <w:rPr>
          <w:szCs w:val="24"/>
          <w:lang w:val="id-ID"/>
        </w:rPr>
        <w:t xml:space="preserve"> </w:t>
      </w:r>
      <w:proofErr w:type="spellStart"/>
      <w:r w:rsidRPr="00840DC7">
        <w:rPr>
          <w:szCs w:val="24"/>
          <w:lang w:val="id-ID"/>
        </w:rPr>
        <w:t>explained</w:t>
      </w:r>
      <w:proofErr w:type="spellEnd"/>
      <w:r w:rsidRPr="00840DC7">
        <w:rPr>
          <w:szCs w:val="24"/>
          <w:lang w:val="id-ID"/>
        </w:rPr>
        <w:t xml:space="preserve"> </w:t>
      </w:r>
      <w:proofErr w:type="spellStart"/>
      <w:r w:rsidRPr="00840DC7">
        <w:rPr>
          <w:szCs w:val="24"/>
          <w:lang w:val="id-ID"/>
        </w:rPr>
        <w:t>by</w:t>
      </w:r>
      <w:proofErr w:type="spellEnd"/>
      <w:r w:rsidRPr="00840DC7">
        <w:rPr>
          <w:szCs w:val="24"/>
          <w:lang w:val="id-ID"/>
        </w:rPr>
        <w:t xml:space="preserve"> </w:t>
      </w:r>
      <w:proofErr w:type="spellStart"/>
      <w:r w:rsidRPr="00840DC7">
        <w:rPr>
          <w:szCs w:val="24"/>
          <w:lang w:val="id-ID"/>
        </w:rPr>
        <w:t>other</w:t>
      </w:r>
      <w:proofErr w:type="spellEnd"/>
      <w:r w:rsidRPr="00840DC7">
        <w:rPr>
          <w:szCs w:val="24"/>
          <w:lang w:val="id-ID"/>
        </w:rPr>
        <w:t xml:space="preserve"> </w:t>
      </w:r>
      <w:proofErr w:type="spellStart"/>
      <w:r w:rsidRPr="00840DC7">
        <w:rPr>
          <w:szCs w:val="24"/>
          <w:lang w:val="id-ID"/>
        </w:rPr>
        <w:t>variables</w:t>
      </w:r>
      <w:proofErr w:type="spellEnd"/>
      <w:r w:rsidRPr="00840DC7">
        <w:rPr>
          <w:szCs w:val="24"/>
          <w:lang w:val="id-ID"/>
        </w:rPr>
        <w:t xml:space="preserve"> not </w:t>
      </w:r>
      <w:proofErr w:type="spellStart"/>
      <w:r w:rsidRPr="00840DC7">
        <w:rPr>
          <w:szCs w:val="24"/>
          <w:lang w:val="id-ID"/>
        </w:rPr>
        <w:t>included</w:t>
      </w:r>
      <w:proofErr w:type="spellEnd"/>
      <w:r w:rsidRPr="00840DC7">
        <w:rPr>
          <w:szCs w:val="24"/>
          <w:lang w:val="id-ID"/>
        </w:rPr>
        <w:t xml:space="preserve"> in </w:t>
      </w:r>
      <w:proofErr w:type="spellStart"/>
      <w:r w:rsidRPr="00840DC7">
        <w:rPr>
          <w:szCs w:val="24"/>
          <w:lang w:val="id-ID"/>
        </w:rPr>
        <w:t>this</w:t>
      </w:r>
      <w:proofErr w:type="spellEnd"/>
      <w:r w:rsidRPr="00840DC7">
        <w:rPr>
          <w:szCs w:val="24"/>
          <w:lang w:val="id-ID"/>
        </w:rPr>
        <w:t xml:space="preserve"> study.</w:t>
      </w:r>
    </w:p>
    <w:p w14:paraId="295DF4B7" w14:textId="77777777" w:rsidR="00840DC7" w:rsidRPr="00840DC7" w:rsidRDefault="00840DC7" w:rsidP="00840DC7">
      <w:pPr>
        <w:widowControl w:val="0"/>
        <w:autoSpaceDE w:val="0"/>
        <w:autoSpaceDN w:val="0"/>
        <w:jc w:val="both"/>
        <w:rPr>
          <w:szCs w:val="24"/>
          <w:lang w:val="id-ID"/>
        </w:rPr>
      </w:pPr>
    </w:p>
    <w:p w14:paraId="50A0C2DE" w14:textId="77777777" w:rsidR="00670614" w:rsidRPr="00020CCF" w:rsidRDefault="00020CCF" w:rsidP="004B7814">
      <w:pPr>
        <w:pStyle w:val="Heading1"/>
        <w:numPr>
          <w:ilvl w:val="1"/>
          <w:numId w:val="7"/>
        </w:numPr>
        <w:suppressAutoHyphens/>
        <w:spacing w:after="60"/>
        <w:rPr>
          <w:b w:val="0"/>
          <w:sz w:val="24"/>
          <w:szCs w:val="24"/>
          <w:lang w:val="id-ID"/>
        </w:rPr>
      </w:pPr>
      <w:r>
        <w:rPr>
          <w:i w:val="0"/>
          <w:sz w:val="24"/>
          <w:szCs w:val="24"/>
          <w:lang w:val="id-ID"/>
        </w:rPr>
        <w:t xml:space="preserve"> </w:t>
      </w:r>
      <w:r w:rsidR="008A398D" w:rsidRPr="00020CCF">
        <w:rPr>
          <w:i w:val="0"/>
          <w:sz w:val="24"/>
          <w:szCs w:val="24"/>
          <w:lang w:val="id-ID"/>
        </w:rPr>
        <w:t>Discussion</w:t>
      </w:r>
    </w:p>
    <w:p w14:paraId="197268E7" w14:textId="192E521F" w:rsidR="0057506A" w:rsidRDefault="001E1874" w:rsidP="008A398D">
      <w:pPr>
        <w:ind w:firstLine="426"/>
        <w:jc w:val="both"/>
        <w:rPr>
          <w:rStyle w:val="tlid-translation"/>
          <w:lang w:val="en"/>
        </w:rPr>
      </w:pPr>
      <w:r>
        <w:rPr>
          <w:rStyle w:val="tlid-translation"/>
          <w:lang w:val="en"/>
        </w:rPr>
        <w:t xml:space="preserve">3.2.1. </w:t>
      </w:r>
      <w:r w:rsidR="0057506A" w:rsidRPr="0057506A">
        <w:rPr>
          <w:rStyle w:val="tlid-translation"/>
          <w:lang w:val="en"/>
        </w:rPr>
        <w:t>Effect of Capital Structure on Firm Value</w:t>
      </w:r>
    </w:p>
    <w:p w14:paraId="4DCD9766" w14:textId="370016AB" w:rsidR="00840DC7" w:rsidRDefault="0057506A" w:rsidP="008A398D">
      <w:pPr>
        <w:ind w:firstLine="426"/>
        <w:jc w:val="both"/>
        <w:rPr>
          <w:szCs w:val="24"/>
        </w:rPr>
      </w:pPr>
      <w:r w:rsidRPr="0057506A">
        <w:rPr>
          <w:rStyle w:val="tlid-translation"/>
          <w:lang w:val="en"/>
        </w:rPr>
        <w:t xml:space="preserve">The results of the processed data show that the </w:t>
      </w:r>
      <w:proofErr w:type="gramStart"/>
      <w:r w:rsidRPr="0057506A">
        <w:rPr>
          <w:rStyle w:val="tlid-translation"/>
          <w:lang w:val="en"/>
        </w:rPr>
        <w:t>long term</w:t>
      </w:r>
      <w:proofErr w:type="gramEnd"/>
      <w:r w:rsidRPr="0057506A">
        <w:rPr>
          <w:rStyle w:val="tlid-translation"/>
          <w:lang w:val="en"/>
        </w:rPr>
        <w:t xml:space="preserve"> debt to equity ratio shows results that do not affect the value of the company, this shows that a lot of debt in the company can describe the good quality of the company. This is because debt can also be used by managers as an effort to increase profits from the company so that it raises good credibility from the company. In the study, the sample or object of research is a manufacturing company with a span of 1 (one) year, namely in 2020. The year the research was published in the ministry of industry was the year the Covid-19 pandemic occurred, in which there were many declines in several company sectors but different from the pharmaceutical sector and the manufacturing sector (</w:t>
      </w:r>
      <w:proofErr w:type="spellStart"/>
      <w:r w:rsidRPr="0057506A">
        <w:rPr>
          <w:rStyle w:val="tlid-translation"/>
          <w:lang w:val="en"/>
        </w:rPr>
        <w:t>Kartasasmita</w:t>
      </w:r>
      <w:proofErr w:type="spellEnd"/>
      <w:r w:rsidRPr="0057506A">
        <w:rPr>
          <w:rStyle w:val="tlid-translation"/>
          <w:lang w:val="en"/>
        </w:rPr>
        <w:t xml:space="preserve">, 2021). With the existing phenomenon, it shows that investors do not only look at the size of the debt in a company but also on the credibility of the company. The results of this study are supported by </w:t>
      </w:r>
      <w:proofErr w:type="spellStart"/>
      <w:r w:rsidRPr="0057506A">
        <w:rPr>
          <w:rStyle w:val="tlid-translation"/>
          <w:lang w:val="en"/>
        </w:rPr>
        <w:t>Ningsih</w:t>
      </w:r>
      <w:proofErr w:type="spellEnd"/>
      <w:r w:rsidRPr="0057506A">
        <w:rPr>
          <w:rStyle w:val="tlid-translation"/>
          <w:lang w:val="en"/>
        </w:rPr>
        <w:t xml:space="preserve"> &amp; </w:t>
      </w:r>
      <w:proofErr w:type="spellStart"/>
      <w:r w:rsidRPr="0057506A">
        <w:rPr>
          <w:rStyle w:val="tlid-translation"/>
          <w:lang w:val="en"/>
        </w:rPr>
        <w:t>Waspada</w:t>
      </w:r>
      <w:proofErr w:type="spellEnd"/>
      <w:r w:rsidRPr="0057506A">
        <w:rPr>
          <w:rStyle w:val="tlid-translation"/>
          <w:lang w:val="en"/>
        </w:rPr>
        <w:t xml:space="preserve"> (2019), Odongo &amp; </w:t>
      </w:r>
      <w:proofErr w:type="spellStart"/>
      <w:r w:rsidRPr="0057506A">
        <w:rPr>
          <w:rStyle w:val="tlid-translation"/>
          <w:lang w:val="en"/>
        </w:rPr>
        <w:t>Mokoaleti</w:t>
      </w:r>
      <w:proofErr w:type="spellEnd"/>
      <w:r w:rsidRPr="0057506A">
        <w:rPr>
          <w:rStyle w:val="tlid-translation"/>
          <w:lang w:val="en"/>
        </w:rPr>
        <w:t xml:space="preserve"> (2015).</w:t>
      </w:r>
    </w:p>
    <w:p w14:paraId="28713657" w14:textId="7BFD24DC" w:rsidR="00840DC7" w:rsidRDefault="001E1874" w:rsidP="008A398D">
      <w:pPr>
        <w:ind w:firstLine="426"/>
        <w:jc w:val="both"/>
        <w:rPr>
          <w:szCs w:val="24"/>
        </w:rPr>
      </w:pPr>
      <w:r>
        <w:rPr>
          <w:szCs w:val="24"/>
        </w:rPr>
        <w:lastRenderedPageBreak/>
        <w:t xml:space="preserve">3.2.2. </w:t>
      </w:r>
      <w:r w:rsidR="0057506A" w:rsidRPr="0057506A">
        <w:rPr>
          <w:szCs w:val="24"/>
        </w:rPr>
        <w:t>The Effect of Inflation on Firm Value</w:t>
      </w:r>
    </w:p>
    <w:p w14:paraId="41341E80" w14:textId="284D3990" w:rsidR="0057506A" w:rsidRDefault="0057506A" w:rsidP="008A398D">
      <w:pPr>
        <w:ind w:firstLine="426"/>
        <w:jc w:val="both"/>
        <w:rPr>
          <w:szCs w:val="24"/>
        </w:rPr>
      </w:pPr>
      <w:r w:rsidRPr="0057506A">
        <w:rPr>
          <w:szCs w:val="24"/>
        </w:rPr>
        <w:t xml:space="preserve">The results of data processing show that inflation has no effect on firm value, and the hypothesis is rejected. The results that have no effect indicate that the general increase in goods and services that occurs as a result of an increase in the inflation rate of a country cannot affect investors' interest in investing their funds in the company, investors tend to maintain their investment in the company rather than having to withdraw the investment directly. </w:t>
      </w:r>
      <w:proofErr w:type="spellStart"/>
      <w:r w:rsidRPr="0057506A">
        <w:rPr>
          <w:szCs w:val="24"/>
        </w:rPr>
        <w:t>tubai</w:t>
      </w:r>
      <w:proofErr w:type="spellEnd"/>
      <w:r w:rsidRPr="0057506A">
        <w:rPr>
          <w:szCs w:val="24"/>
        </w:rPr>
        <w:t xml:space="preserve"> which then moves it to be stored or used to meet the needs of daily life (</w:t>
      </w:r>
      <w:proofErr w:type="spellStart"/>
      <w:r w:rsidRPr="0057506A">
        <w:rPr>
          <w:szCs w:val="24"/>
        </w:rPr>
        <w:t>Hamidah</w:t>
      </w:r>
      <w:proofErr w:type="spellEnd"/>
      <w:r w:rsidRPr="0057506A">
        <w:rPr>
          <w:szCs w:val="24"/>
        </w:rPr>
        <w:t xml:space="preserve">, </w:t>
      </w:r>
      <w:proofErr w:type="spellStart"/>
      <w:r w:rsidRPr="0057506A">
        <w:rPr>
          <w:szCs w:val="24"/>
        </w:rPr>
        <w:t>Hartini</w:t>
      </w:r>
      <w:proofErr w:type="spellEnd"/>
      <w:r w:rsidRPr="0057506A">
        <w:rPr>
          <w:szCs w:val="24"/>
        </w:rPr>
        <w:t xml:space="preserve">, and </w:t>
      </w:r>
      <w:proofErr w:type="spellStart"/>
      <w:r w:rsidRPr="0057506A">
        <w:rPr>
          <w:szCs w:val="24"/>
        </w:rPr>
        <w:t>Mardiyati</w:t>
      </w:r>
      <w:proofErr w:type="spellEnd"/>
      <w:r w:rsidRPr="0057506A">
        <w:rPr>
          <w:szCs w:val="24"/>
        </w:rPr>
        <w:t xml:space="preserve">, 2015). The Ministry of Industry stated that the increase that occurred in the fourth quarter of 2020 in the manufacturing sector was able to give a positive signal to the value of the company during the Covid-19 outbreak. Investors tend to maintain their investment even though inflation is recorded below 1%, this is because despite inflation, the company's performance is still improving. </w:t>
      </w:r>
      <w:proofErr w:type="gramStart"/>
      <w:r w:rsidRPr="0057506A">
        <w:rPr>
          <w:szCs w:val="24"/>
        </w:rPr>
        <w:t>So</w:t>
      </w:r>
      <w:proofErr w:type="gramEnd"/>
      <w:r w:rsidRPr="0057506A">
        <w:rPr>
          <w:szCs w:val="24"/>
        </w:rPr>
        <w:t xml:space="preserve"> it can be concluded that inflation does not affect the value of a company. The results of this study are supported by </w:t>
      </w:r>
      <w:proofErr w:type="spellStart"/>
      <w:r w:rsidRPr="0057506A">
        <w:rPr>
          <w:szCs w:val="24"/>
        </w:rPr>
        <w:t>Beriwisnu</w:t>
      </w:r>
      <w:proofErr w:type="spellEnd"/>
      <w:r w:rsidRPr="0057506A">
        <w:rPr>
          <w:szCs w:val="24"/>
        </w:rPr>
        <w:t xml:space="preserve"> (2017), Munib (2016), Agustina and </w:t>
      </w:r>
      <w:proofErr w:type="spellStart"/>
      <w:r w:rsidRPr="0057506A">
        <w:rPr>
          <w:szCs w:val="24"/>
        </w:rPr>
        <w:t>Ardiansyah</w:t>
      </w:r>
      <w:proofErr w:type="spellEnd"/>
      <w:r w:rsidRPr="0057506A">
        <w:rPr>
          <w:szCs w:val="24"/>
        </w:rPr>
        <w:t xml:space="preserve"> (2015).</w:t>
      </w:r>
    </w:p>
    <w:p w14:paraId="692FB8A6" w14:textId="6B807B95" w:rsidR="00840DC7" w:rsidRDefault="00840DC7" w:rsidP="008A398D">
      <w:pPr>
        <w:ind w:firstLine="426"/>
        <w:jc w:val="both"/>
        <w:rPr>
          <w:szCs w:val="24"/>
        </w:rPr>
      </w:pPr>
    </w:p>
    <w:p w14:paraId="3B11E1EA" w14:textId="0AB7D1D7" w:rsidR="0057506A" w:rsidRDefault="001E1874" w:rsidP="008A398D">
      <w:pPr>
        <w:ind w:firstLine="426"/>
        <w:jc w:val="both"/>
        <w:rPr>
          <w:szCs w:val="24"/>
        </w:rPr>
      </w:pPr>
      <w:r>
        <w:rPr>
          <w:szCs w:val="24"/>
        </w:rPr>
        <w:t xml:space="preserve">3.2.3. </w:t>
      </w:r>
      <w:r w:rsidR="0057506A" w:rsidRPr="0057506A">
        <w:rPr>
          <w:szCs w:val="24"/>
        </w:rPr>
        <w:t>Effect of Exchange Rate on Firm Value</w:t>
      </w:r>
    </w:p>
    <w:p w14:paraId="64B8A94E" w14:textId="36BB3ADE" w:rsidR="0057506A" w:rsidRDefault="0057506A" w:rsidP="008A398D">
      <w:pPr>
        <w:ind w:firstLine="426"/>
        <w:jc w:val="both"/>
        <w:rPr>
          <w:szCs w:val="24"/>
        </w:rPr>
      </w:pPr>
      <w:r w:rsidRPr="0057506A">
        <w:rPr>
          <w:szCs w:val="24"/>
        </w:rPr>
        <w:t xml:space="preserve">The results of data processing show that the exchange rate has a positive and significant effect on firm value. This means that when the foreign currency exchange rate decreases in value and the company uses that currency as a transaction tool for trading, it requires a small </w:t>
      </w:r>
      <w:proofErr w:type="gramStart"/>
      <w:r w:rsidRPr="0057506A">
        <w:rPr>
          <w:szCs w:val="24"/>
        </w:rPr>
        <w:t>amount</w:t>
      </w:r>
      <w:proofErr w:type="gramEnd"/>
      <w:r w:rsidRPr="0057506A">
        <w:rPr>
          <w:szCs w:val="24"/>
        </w:rPr>
        <w:t xml:space="preserve"> of rupiah to be equivalent to the foreign currency value. So that it can cause an increase in cash owned by the company (</w:t>
      </w:r>
      <w:proofErr w:type="spellStart"/>
      <w:r w:rsidRPr="0057506A">
        <w:rPr>
          <w:szCs w:val="24"/>
        </w:rPr>
        <w:t>Sukirno</w:t>
      </w:r>
      <w:proofErr w:type="spellEnd"/>
      <w:r w:rsidRPr="0057506A">
        <w:rPr>
          <w:szCs w:val="24"/>
        </w:rPr>
        <w:t>, 2013). Raw goods obtained at low prices are also very profitable because the company will get more profits from selling at the same price as before. The results of this study are supported by (</w:t>
      </w:r>
      <w:proofErr w:type="spellStart"/>
      <w:r w:rsidRPr="0057506A">
        <w:rPr>
          <w:szCs w:val="24"/>
        </w:rPr>
        <w:t>Arif</w:t>
      </w:r>
      <w:proofErr w:type="spellEnd"/>
      <w:r w:rsidRPr="0057506A">
        <w:rPr>
          <w:szCs w:val="24"/>
        </w:rPr>
        <w:t>, 2014).</w:t>
      </w:r>
    </w:p>
    <w:p w14:paraId="47CE3522" w14:textId="77777777" w:rsidR="0057506A" w:rsidRDefault="0057506A" w:rsidP="008A398D">
      <w:pPr>
        <w:ind w:firstLine="426"/>
        <w:jc w:val="both"/>
        <w:rPr>
          <w:szCs w:val="24"/>
        </w:rPr>
      </w:pPr>
    </w:p>
    <w:p w14:paraId="3ECB0422" w14:textId="2BFADE00" w:rsidR="0057506A" w:rsidRDefault="001E1874" w:rsidP="008A398D">
      <w:pPr>
        <w:ind w:firstLine="426"/>
        <w:jc w:val="both"/>
        <w:rPr>
          <w:szCs w:val="24"/>
        </w:rPr>
      </w:pPr>
      <w:r>
        <w:rPr>
          <w:szCs w:val="24"/>
        </w:rPr>
        <w:t xml:space="preserve">3.2.4. </w:t>
      </w:r>
      <w:r w:rsidR="0057506A" w:rsidRPr="0057506A">
        <w:rPr>
          <w:szCs w:val="24"/>
        </w:rPr>
        <w:t>The Effect of Gross Domestic Product (GDP) on Firm Value</w:t>
      </w:r>
    </w:p>
    <w:p w14:paraId="564058A0" w14:textId="39CBB869" w:rsidR="0057506A" w:rsidRDefault="0057506A" w:rsidP="008A398D">
      <w:pPr>
        <w:ind w:firstLine="426"/>
        <w:jc w:val="both"/>
        <w:rPr>
          <w:szCs w:val="24"/>
        </w:rPr>
      </w:pPr>
      <w:r w:rsidRPr="0057506A">
        <w:rPr>
          <w:szCs w:val="24"/>
        </w:rPr>
        <w:t xml:space="preserve">The statistical results that have been carried out show that gross domestic product has a positive effect on firm value. These results indicate that an increase in GDP will describe an increasing economic condition in a country and people's purchasing power can be said to be relatively high. This situation, which reflects an increase in people's purchasing power, will have an impact on increasing the value of the company, this is because the company will have the opportunity to increase its sales again. Increased sales will affect the company's profit increase, therefore the higher the company's profit, the higher the company's stock price (Mankiw, 2007). The results of this study are supported by </w:t>
      </w:r>
      <w:proofErr w:type="spellStart"/>
      <w:r w:rsidRPr="0057506A">
        <w:rPr>
          <w:szCs w:val="24"/>
        </w:rPr>
        <w:t>Dewi</w:t>
      </w:r>
      <w:proofErr w:type="spellEnd"/>
      <w:r w:rsidRPr="0057506A">
        <w:rPr>
          <w:szCs w:val="24"/>
        </w:rPr>
        <w:t xml:space="preserve"> (2020) and </w:t>
      </w:r>
      <w:proofErr w:type="spellStart"/>
      <w:r w:rsidRPr="0057506A">
        <w:rPr>
          <w:szCs w:val="24"/>
        </w:rPr>
        <w:t>Arif</w:t>
      </w:r>
      <w:proofErr w:type="spellEnd"/>
      <w:r w:rsidRPr="0057506A">
        <w:rPr>
          <w:szCs w:val="24"/>
        </w:rPr>
        <w:t xml:space="preserve"> (2014) who state that GDP has a positive effect on firm value.</w:t>
      </w:r>
    </w:p>
    <w:p w14:paraId="576E631E" w14:textId="77777777" w:rsidR="0057506A" w:rsidRDefault="0057506A" w:rsidP="008A398D">
      <w:pPr>
        <w:ind w:firstLine="426"/>
        <w:jc w:val="both"/>
        <w:rPr>
          <w:szCs w:val="24"/>
        </w:rPr>
      </w:pPr>
    </w:p>
    <w:p w14:paraId="5906F3CA" w14:textId="2D75F07D" w:rsidR="0057506A" w:rsidRDefault="001E1874" w:rsidP="008A398D">
      <w:pPr>
        <w:ind w:firstLine="426"/>
        <w:jc w:val="both"/>
        <w:rPr>
          <w:szCs w:val="24"/>
        </w:rPr>
      </w:pPr>
      <w:r>
        <w:rPr>
          <w:szCs w:val="24"/>
        </w:rPr>
        <w:t xml:space="preserve">3.2.5. </w:t>
      </w:r>
      <w:r w:rsidR="0057506A" w:rsidRPr="0057506A">
        <w:rPr>
          <w:szCs w:val="24"/>
        </w:rPr>
        <w:t>Effect of Capital Structure on Firm Value Moderated by Firm Performance</w:t>
      </w:r>
    </w:p>
    <w:p w14:paraId="0C2280EE" w14:textId="3256211B" w:rsidR="0057506A" w:rsidRDefault="0057506A" w:rsidP="008A398D">
      <w:pPr>
        <w:ind w:firstLine="426"/>
        <w:jc w:val="both"/>
        <w:rPr>
          <w:szCs w:val="24"/>
        </w:rPr>
      </w:pPr>
      <w:r w:rsidRPr="0057506A">
        <w:rPr>
          <w:szCs w:val="24"/>
        </w:rPr>
        <w:t xml:space="preserve">The results of the obtained hypothesis indicate that the relationship between capital structure and firm value cannot be moderated by financial performance. In this case, it can be seen that the debt owned by the company is not able to influence investors in terms of investing their capital in the company, because investors believe that the higher the risk that will be faced in investing, the higher the profits will be. In the trade off theory, it also states that debt has advantages and disadvantages, the advantages of using debt are related to reducing interest in tax calculations, while the spatial aspect is that debt can cause actual or potential bankruptcy caused by the emergence of inflated costs. Profitability which reflects the measurement of company performance is also not able to influence the capital structure on the value of the company. Investors will tend </w:t>
      </w:r>
      <w:r w:rsidRPr="0057506A">
        <w:rPr>
          <w:szCs w:val="24"/>
        </w:rPr>
        <w:lastRenderedPageBreak/>
        <w:t xml:space="preserve">to like challenges so that investors do not judge the company as good by looking at the profit value alone. This is in accordance with research conducted by </w:t>
      </w:r>
      <w:proofErr w:type="spellStart"/>
      <w:r w:rsidRPr="0057506A">
        <w:rPr>
          <w:szCs w:val="24"/>
        </w:rPr>
        <w:t>Binangkit</w:t>
      </w:r>
      <w:proofErr w:type="spellEnd"/>
      <w:r w:rsidRPr="0057506A">
        <w:rPr>
          <w:szCs w:val="24"/>
        </w:rPr>
        <w:t xml:space="preserve"> and </w:t>
      </w:r>
      <w:proofErr w:type="spellStart"/>
      <w:r w:rsidRPr="0057506A">
        <w:rPr>
          <w:szCs w:val="24"/>
        </w:rPr>
        <w:t>Raharjo</w:t>
      </w:r>
      <w:proofErr w:type="spellEnd"/>
      <w:r w:rsidRPr="0057506A">
        <w:rPr>
          <w:szCs w:val="24"/>
        </w:rPr>
        <w:t xml:space="preserve"> (2014) and </w:t>
      </w:r>
      <w:proofErr w:type="spellStart"/>
      <w:r w:rsidRPr="0057506A">
        <w:rPr>
          <w:szCs w:val="24"/>
        </w:rPr>
        <w:t>Muhibah</w:t>
      </w:r>
      <w:proofErr w:type="spellEnd"/>
      <w:r w:rsidRPr="0057506A">
        <w:rPr>
          <w:szCs w:val="24"/>
        </w:rPr>
        <w:t xml:space="preserve"> (2020).</w:t>
      </w:r>
    </w:p>
    <w:p w14:paraId="2D40CF8B" w14:textId="2A66CCF5" w:rsidR="0057506A" w:rsidRDefault="0057506A" w:rsidP="008A398D">
      <w:pPr>
        <w:ind w:firstLine="426"/>
        <w:jc w:val="both"/>
        <w:rPr>
          <w:szCs w:val="24"/>
        </w:rPr>
      </w:pPr>
    </w:p>
    <w:p w14:paraId="44D19517" w14:textId="3C7C27FC" w:rsidR="0057506A" w:rsidRDefault="001E1874" w:rsidP="008A398D">
      <w:pPr>
        <w:ind w:firstLine="426"/>
        <w:jc w:val="both"/>
        <w:rPr>
          <w:szCs w:val="24"/>
        </w:rPr>
      </w:pPr>
      <w:r>
        <w:rPr>
          <w:szCs w:val="24"/>
        </w:rPr>
        <w:t xml:space="preserve">3.2.6. </w:t>
      </w:r>
      <w:r w:rsidR="0057506A" w:rsidRPr="0057506A">
        <w:rPr>
          <w:szCs w:val="24"/>
        </w:rPr>
        <w:t>The Effect of Inflation on Firm Value Moderated by Firm Performance</w:t>
      </w:r>
    </w:p>
    <w:p w14:paraId="21AEE34D" w14:textId="0A6ACB61" w:rsidR="00472954" w:rsidRDefault="00472954" w:rsidP="008A398D">
      <w:pPr>
        <w:ind w:firstLine="426"/>
        <w:jc w:val="both"/>
        <w:rPr>
          <w:szCs w:val="24"/>
        </w:rPr>
      </w:pPr>
      <w:r w:rsidRPr="00472954">
        <w:rPr>
          <w:szCs w:val="24"/>
        </w:rPr>
        <w:t xml:space="preserve">The results of this research hypothesis are rejected, this explains that the role of financial performance as a moderating variable cannot moderate the relationship between inflation and firm value. Companies that are able to manage their financial performance well can avoid the impact of inflation that will occur. This can maintain investor confidence in investing their shares in the company, the company will also remain stable when shaken by the macro economy, one of which is inflation. Negative inflation will affect stock prices, this is because the higher the inflation, the higher the cost of a company. Costs whose value is higher than revenue will cause a decrease in company profitability. If the income of a company decreases, it will be a negative signal for investors to invest in the company. Investors will tend to avoid companies that have decreased profitability. The results of the study stated that the moderation between firm performance and firm value showed that firm performance was not able to moderate the implications of inflation on firm value. This is because profitability does not have any impact or influence on the value of the company. This is in line with previous research conducted by </w:t>
      </w:r>
      <w:proofErr w:type="spellStart"/>
      <w:r w:rsidRPr="00472954">
        <w:rPr>
          <w:szCs w:val="24"/>
        </w:rPr>
        <w:t>Oktrima</w:t>
      </w:r>
      <w:proofErr w:type="spellEnd"/>
      <w:r w:rsidRPr="00472954">
        <w:rPr>
          <w:szCs w:val="24"/>
        </w:rPr>
        <w:t xml:space="preserve"> (2017), </w:t>
      </w:r>
      <w:proofErr w:type="spellStart"/>
      <w:r w:rsidRPr="00472954">
        <w:rPr>
          <w:szCs w:val="24"/>
        </w:rPr>
        <w:t>Palupi</w:t>
      </w:r>
      <w:proofErr w:type="spellEnd"/>
      <w:r w:rsidRPr="00472954">
        <w:rPr>
          <w:szCs w:val="24"/>
        </w:rPr>
        <w:t xml:space="preserve"> &amp; </w:t>
      </w:r>
      <w:proofErr w:type="spellStart"/>
      <w:r w:rsidRPr="00472954">
        <w:rPr>
          <w:szCs w:val="24"/>
        </w:rPr>
        <w:t>Handrianto</w:t>
      </w:r>
      <w:proofErr w:type="spellEnd"/>
      <w:r w:rsidRPr="00472954">
        <w:rPr>
          <w:szCs w:val="24"/>
        </w:rPr>
        <w:t xml:space="preserve"> (2018) which states that the profit of a company is not able to have an effect on the value of the company.</w:t>
      </w:r>
    </w:p>
    <w:p w14:paraId="3E08F199" w14:textId="78295E9C" w:rsidR="00472954" w:rsidRDefault="00472954" w:rsidP="008A398D">
      <w:pPr>
        <w:ind w:firstLine="426"/>
        <w:jc w:val="both"/>
        <w:rPr>
          <w:szCs w:val="24"/>
        </w:rPr>
      </w:pPr>
    </w:p>
    <w:p w14:paraId="661F7351" w14:textId="6B3DD3A7" w:rsidR="00472954" w:rsidRDefault="001E1874" w:rsidP="008A398D">
      <w:pPr>
        <w:ind w:firstLine="426"/>
        <w:jc w:val="both"/>
        <w:rPr>
          <w:szCs w:val="24"/>
        </w:rPr>
      </w:pPr>
      <w:r>
        <w:rPr>
          <w:szCs w:val="24"/>
        </w:rPr>
        <w:t xml:space="preserve">3.2.7. </w:t>
      </w:r>
      <w:r w:rsidR="00472954" w:rsidRPr="00472954">
        <w:rPr>
          <w:szCs w:val="24"/>
        </w:rPr>
        <w:t>The Effect of Exchange Rate on Firm Value Moderated by Company Performance</w:t>
      </w:r>
    </w:p>
    <w:p w14:paraId="3FF298AC" w14:textId="1AAB9E0C" w:rsidR="00472954" w:rsidRDefault="00472954" w:rsidP="008A398D">
      <w:pPr>
        <w:ind w:firstLine="426"/>
        <w:jc w:val="both"/>
        <w:rPr>
          <w:szCs w:val="24"/>
        </w:rPr>
      </w:pPr>
      <w:r w:rsidRPr="00472954">
        <w:rPr>
          <w:szCs w:val="24"/>
        </w:rPr>
        <w:t xml:space="preserve">The results of the hypothesis indicate that financial performance cannot moderate the relationship between the exchange rate and firm value. Investment is closely related to the exchange rate, an increase in the value of the rupiah currency can affect investment in the capital market because there are some raw materials that must be exported so that an increase in the exchange rate will be followed by the amount of costs that will be incurred. The </w:t>
      </w:r>
      <w:proofErr w:type="gramStart"/>
      <w:r w:rsidRPr="00472954">
        <w:rPr>
          <w:szCs w:val="24"/>
        </w:rPr>
        <w:t>more raw</w:t>
      </w:r>
      <w:proofErr w:type="gramEnd"/>
      <w:r w:rsidRPr="00472954">
        <w:rPr>
          <w:szCs w:val="24"/>
        </w:rPr>
        <w:t xml:space="preserve"> materials that are exported, the less the cost will be, so that the profits obtained by the company will increase. The value of the company is influenced by the level of sales of a company's shares, the more shares sold reflect that more investors are buying the shares, with this level of increase, the value of the company will tend to increase and this is a positive signal for investors to invest in a company. Financial performance indicators in this study use profitability but are still unable to influence the capital structure on firm value. This is because some investors who like the challenge of investing will not ignore the value of a company's profit. The results of this study are in line with research by Munib (2016), </w:t>
      </w:r>
      <w:proofErr w:type="spellStart"/>
      <w:r w:rsidRPr="00472954">
        <w:rPr>
          <w:szCs w:val="24"/>
        </w:rPr>
        <w:t>Oktrima</w:t>
      </w:r>
      <w:proofErr w:type="spellEnd"/>
      <w:r w:rsidRPr="00472954">
        <w:rPr>
          <w:szCs w:val="24"/>
        </w:rPr>
        <w:t xml:space="preserve"> (2017) and </w:t>
      </w:r>
      <w:proofErr w:type="spellStart"/>
      <w:r w:rsidRPr="00472954">
        <w:rPr>
          <w:szCs w:val="24"/>
        </w:rPr>
        <w:t>Plupi</w:t>
      </w:r>
      <w:proofErr w:type="spellEnd"/>
      <w:r w:rsidRPr="00472954">
        <w:rPr>
          <w:szCs w:val="24"/>
        </w:rPr>
        <w:t xml:space="preserve"> and </w:t>
      </w:r>
      <w:proofErr w:type="spellStart"/>
      <w:r w:rsidRPr="00472954">
        <w:rPr>
          <w:szCs w:val="24"/>
        </w:rPr>
        <w:t>Hendriarto</w:t>
      </w:r>
      <w:proofErr w:type="spellEnd"/>
      <w:r w:rsidRPr="00472954">
        <w:rPr>
          <w:szCs w:val="24"/>
        </w:rPr>
        <w:t xml:space="preserve"> (2018).</w:t>
      </w:r>
    </w:p>
    <w:p w14:paraId="44DAF319" w14:textId="1EACDD87" w:rsidR="00472954" w:rsidRDefault="00472954" w:rsidP="008A398D">
      <w:pPr>
        <w:ind w:firstLine="426"/>
        <w:jc w:val="both"/>
        <w:rPr>
          <w:szCs w:val="24"/>
        </w:rPr>
      </w:pPr>
    </w:p>
    <w:p w14:paraId="68BB368B" w14:textId="4DE974B1" w:rsidR="00472954" w:rsidRDefault="001E1874" w:rsidP="008A398D">
      <w:pPr>
        <w:ind w:firstLine="426"/>
        <w:jc w:val="both"/>
        <w:rPr>
          <w:szCs w:val="24"/>
        </w:rPr>
      </w:pPr>
      <w:r>
        <w:rPr>
          <w:szCs w:val="24"/>
        </w:rPr>
        <w:t xml:space="preserve">3.2.8. </w:t>
      </w:r>
      <w:r w:rsidR="00472954" w:rsidRPr="00472954">
        <w:rPr>
          <w:szCs w:val="24"/>
        </w:rPr>
        <w:t>The Effect of Gross Domestic Product on Company Value Moderated by Company Performance</w:t>
      </w:r>
      <w:r w:rsidR="00472954">
        <w:rPr>
          <w:szCs w:val="24"/>
        </w:rPr>
        <w:t>.</w:t>
      </w:r>
    </w:p>
    <w:p w14:paraId="317369AC" w14:textId="77777777" w:rsidR="00472954" w:rsidRPr="00472954" w:rsidRDefault="00472954" w:rsidP="00472954">
      <w:pPr>
        <w:ind w:firstLine="426"/>
        <w:jc w:val="both"/>
        <w:rPr>
          <w:szCs w:val="24"/>
        </w:rPr>
      </w:pPr>
      <w:r w:rsidRPr="00472954">
        <w:rPr>
          <w:szCs w:val="24"/>
        </w:rPr>
        <w:t xml:space="preserve">The results of data processing show that financial performance cannot moderate the relationship between gross domestic product and firm value. The value of the increased gross domestic product (GDP) in this study may indicate that the income earned by the community has also increased, but it is not matched by investments made in the capital market. People are more likely to increase their consumptive style of goods and services. In the study, it was found that the </w:t>
      </w:r>
      <w:r w:rsidRPr="00472954">
        <w:rPr>
          <w:szCs w:val="24"/>
        </w:rPr>
        <w:lastRenderedPageBreak/>
        <w:t>higher the income, the higher the consumptive style of the community towards goods and services, but it was not matched by investment in the capital market, causing a decrease in company income.</w:t>
      </w:r>
    </w:p>
    <w:p w14:paraId="74BEDC1A" w14:textId="33A9AB66" w:rsidR="00472954" w:rsidRDefault="00472954" w:rsidP="00472954">
      <w:pPr>
        <w:ind w:firstLine="426"/>
        <w:jc w:val="both"/>
        <w:rPr>
          <w:szCs w:val="24"/>
        </w:rPr>
      </w:pPr>
      <w:r w:rsidRPr="00472954">
        <w:rPr>
          <w:szCs w:val="24"/>
        </w:rPr>
        <w:t>An increase in Gross Domestic Product can also reflect the level of welfare of the people in a country. The increasing GDP growth in a country illustrates the good economic growth that is being experienced by that country. This can affect people's purchasing power and create opportunities for companies to increase their sales. The more sales increase in a company, it will affect the increase in the company's income. If the company's income increases it will cause stock prices to rise and will also affect the value of the company (Mankiw, 2007). The results of this study are in line with research conducted by (</w:t>
      </w:r>
      <w:proofErr w:type="spellStart"/>
      <w:r w:rsidRPr="00472954">
        <w:rPr>
          <w:szCs w:val="24"/>
        </w:rPr>
        <w:t>Beriwisnu</w:t>
      </w:r>
      <w:proofErr w:type="spellEnd"/>
      <w:r w:rsidRPr="00472954">
        <w:rPr>
          <w:szCs w:val="24"/>
        </w:rPr>
        <w:t>, 2017), conducted (</w:t>
      </w:r>
      <w:proofErr w:type="spellStart"/>
      <w:r w:rsidRPr="00472954">
        <w:rPr>
          <w:szCs w:val="24"/>
        </w:rPr>
        <w:t>Oktrima</w:t>
      </w:r>
      <w:proofErr w:type="spellEnd"/>
      <w:r w:rsidRPr="00472954">
        <w:rPr>
          <w:szCs w:val="24"/>
        </w:rPr>
        <w:t>, 2017), (</w:t>
      </w:r>
      <w:proofErr w:type="spellStart"/>
      <w:r w:rsidRPr="00472954">
        <w:rPr>
          <w:szCs w:val="24"/>
        </w:rPr>
        <w:t>Palupi</w:t>
      </w:r>
      <w:proofErr w:type="spellEnd"/>
      <w:r w:rsidRPr="00472954">
        <w:rPr>
          <w:szCs w:val="24"/>
        </w:rPr>
        <w:t xml:space="preserve"> &amp; </w:t>
      </w:r>
      <w:proofErr w:type="spellStart"/>
      <w:r w:rsidRPr="00472954">
        <w:rPr>
          <w:szCs w:val="24"/>
        </w:rPr>
        <w:t>Hendiarto</w:t>
      </w:r>
      <w:proofErr w:type="spellEnd"/>
      <w:r w:rsidRPr="00472954">
        <w:rPr>
          <w:szCs w:val="24"/>
        </w:rPr>
        <w:t>, 2018).</w:t>
      </w:r>
    </w:p>
    <w:p w14:paraId="2B170297" w14:textId="77777777" w:rsidR="00840DC7" w:rsidRPr="00020CCF" w:rsidRDefault="00840DC7" w:rsidP="008A398D">
      <w:pPr>
        <w:ind w:firstLine="426"/>
        <w:jc w:val="both"/>
        <w:rPr>
          <w:szCs w:val="24"/>
          <w:lang w:val="id-ID"/>
        </w:rPr>
      </w:pPr>
    </w:p>
    <w:p w14:paraId="2B46F8B0"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2DBD6A00" w14:textId="13046A69" w:rsidR="00020CCF" w:rsidRDefault="00472954" w:rsidP="008A398D">
      <w:pPr>
        <w:ind w:firstLine="426"/>
        <w:jc w:val="both"/>
        <w:rPr>
          <w:rStyle w:val="tlid-translation"/>
          <w:lang w:val="en"/>
        </w:rPr>
      </w:pPr>
      <w:r w:rsidRPr="00472954">
        <w:rPr>
          <w:rStyle w:val="tlid-translation"/>
          <w:lang w:val="en"/>
        </w:rPr>
        <w:t xml:space="preserve">This study is intended to examine the role of financial performance in moderating capital structure, inflation, exchange rates and gross domestic product on firm value in manufacturing companies listed on the IDX in the 2020 economic recession. Based on the results and discussion, it can be concluded that capital structure, inflation and the exchange rate </w:t>
      </w:r>
      <w:proofErr w:type="gramStart"/>
      <w:r w:rsidRPr="00472954">
        <w:rPr>
          <w:rStyle w:val="tlid-translation"/>
          <w:lang w:val="en"/>
        </w:rPr>
        <w:t>has</w:t>
      </w:r>
      <w:proofErr w:type="gramEnd"/>
      <w:r w:rsidRPr="00472954">
        <w:rPr>
          <w:rStyle w:val="tlid-translation"/>
          <w:lang w:val="en"/>
        </w:rPr>
        <w:t xml:space="preserve"> no significant effect on firm value while gross domestic product has a significant positive impact on firm value. Meanwhile, financial performance which is the moderating variable in this study is not able to moderate the relationship between capital structure and company external factors on firm value. The size of the capital structure and the high and low levels of inflation cannot change investors to maintain their investment in the company. While the increase in GDP will show good economic growth in a safe country, it will affect the purchasing power of the people which is used as an opportunity for companies to increase their sales, so that the company's profits increase and the value of the company will increase.</w:t>
      </w:r>
    </w:p>
    <w:p w14:paraId="2B72F3DF" w14:textId="79B96559" w:rsidR="00472954" w:rsidRDefault="00472954" w:rsidP="008A398D">
      <w:pPr>
        <w:ind w:firstLine="426"/>
        <w:jc w:val="both"/>
        <w:rPr>
          <w:szCs w:val="24"/>
          <w:lang w:val="id-ID"/>
        </w:rPr>
      </w:pPr>
      <w:r w:rsidRPr="00472954">
        <w:rPr>
          <w:szCs w:val="24"/>
          <w:lang w:val="id-ID"/>
        </w:rPr>
        <w:t xml:space="preserve">Future </w:t>
      </w:r>
      <w:proofErr w:type="spellStart"/>
      <w:r w:rsidRPr="00472954">
        <w:rPr>
          <w:szCs w:val="24"/>
          <w:lang w:val="id-ID"/>
        </w:rPr>
        <w:t>research</w:t>
      </w:r>
      <w:proofErr w:type="spellEnd"/>
      <w:r w:rsidRPr="00472954">
        <w:rPr>
          <w:szCs w:val="24"/>
          <w:lang w:val="id-ID"/>
        </w:rPr>
        <w:t xml:space="preserve"> </w:t>
      </w:r>
      <w:proofErr w:type="spellStart"/>
      <w:r w:rsidRPr="00472954">
        <w:rPr>
          <w:szCs w:val="24"/>
          <w:lang w:val="id-ID"/>
        </w:rPr>
        <w:t>is</w:t>
      </w:r>
      <w:proofErr w:type="spellEnd"/>
      <w:r w:rsidRPr="00472954">
        <w:rPr>
          <w:szCs w:val="24"/>
          <w:lang w:val="id-ID"/>
        </w:rPr>
        <w:t xml:space="preserve"> </w:t>
      </w:r>
      <w:proofErr w:type="spellStart"/>
      <w:r w:rsidRPr="00472954">
        <w:rPr>
          <w:szCs w:val="24"/>
          <w:lang w:val="id-ID"/>
        </w:rPr>
        <w:t>expected</w:t>
      </w:r>
      <w:proofErr w:type="spellEnd"/>
      <w:r w:rsidRPr="00472954">
        <w:rPr>
          <w:szCs w:val="24"/>
          <w:lang w:val="id-ID"/>
        </w:rPr>
        <w:t xml:space="preserve"> </w:t>
      </w:r>
      <w:proofErr w:type="spellStart"/>
      <w:r w:rsidRPr="00472954">
        <w:rPr>
          <w:szCs w:val="24"/>
          <w:lang w:val="id-ID"/>
        </w:rPr>
        <w:t>to</w:t>
      </w:r>
      <w:proofErr w:type="spellEnd"/>
      <w:r w:rsidRPr="00472954">
        <w:rPr>
          <w:szCs w:val="24"/>
          <w:lang w:val="id-ID"/>
        </w:rPr>
        <w:t xml:space="preserve"> </w:t>
      </w:r>
      <w:proofErr w:type="spellStart"/>
      <w:r w:rsidRPr="00472954">
        <w:rPr>
          <w:szCs w:val="24"/>
          <w:lang w:val="id-ID"/>
        </w:rPr>
        <w:t>be</w:t>
      </w:r>
      <w:proofErr w:type="spellEnd"/>
      <w:r w:rsidRPr="00472954">
        <w:rPr>
          <w:szCs w:val="24"/>
          <w:lang w:val="id-ID"/>
        </w:rPr>
        <w:t xml:space="preserve"> </w:t>
      </w:r>
      <w:proofErr w:type="spellStart"/>
      <w:r w:rsidRPr="00472954">
        <w:rPr>
          <w:szCs w:val="24"/>
          <w:lang w:val="id-ID"/>
        </w:rPr>
        <w:t>able</w:t>
      </w:r>
      <w:proofErr w:type="spellEnd"/>
      <w:r w:rsidRPr="00472954">
        <w:rPr>
          <w:szCs w:val="24"/>
          <w:lang w:val="id-ID"/>
        </w:rPr>
        <w:t xml:space="preserve"> </w:t>
      </w:r>
      <w:proofErr w:type="spellStart"/>
      <w:r w:rsidRPr="00472954">
        <w:rPr>
          <w:szCs w:val="24"/>
          <w:lang w:val="id-ID"/>
        </w:rPr>
        <w:t>to</w:t>
      </w:r>
      <w:proofErr w:type="spellEnd"/>
      <w:r w:rsidRPr="00472954">
        <w:rPr>
          <w:szCs w:val="24"/>
          <w:lang w:val="id-ID"/>
        </w:rPr>
        <w:t xml:space="preserve"> </w:t>
      </w:r>
      <w:proofErr w:type="spellStart"/>
      <w:r w:rsidRPr="00472954">
        <w:rPr>
          <w:szCs w:val="24"/>
          <w:lang w:val="id-ID"/>
        </w:rPr>
        <w:t>use</w:t>
      </w:r>
      <w:proofErr w:type="spellEnd"/>
      <w:r w:rsidRPr="00472954">
        <w:rPr>
          <w:szCs w:val="24"/>
          <w:lang w:val="id-ID"/>
        </w:rPr>
        <w:t xml:space="preserve"> </w:t>
      </w:r>
      <w:proofErr w:type="spellStart"/>
      <w:r w:rsidRPr="00472954">
        <w:rPr>
          <w:szCs w:val="24"/>
          <w:lang w:val="id-ID"/>
        </w:rPr>
        <w:t>different</w:t>
      </w:r>
      <w:proofErr w:type="spellEnd"/>
      <w:r w:rsidRPr="00472954">
        <w:rPr>
          <w:szCs w:val="24"/>
          <w:lang w:val="id-ID"/>
        </w:rPr>
        <w:t xml:space="preserve"> </w:t>
      </w:r>
      <w:proofErr w:type="spellStart"/>
      <w:r w:rsidRPr="00472954">
        <w:rPr>
          <w:szCs w:val="24"/>
          <w:lang w:val="id-ID"/>
        </w:rPr>
        <w:t>measurement</w:t>
      </w:r>
      <w:proofErr w:type="spellEnd"/>
      <w:r w:rsidRPr="00472954">
        <w:rPr>
          <w:szCs w:val="24"/>
          <w:lang w:val="id-ID"/>
        </w:rPr>
        <w:t xml:space="preserve"> </w:t>
      </w:r>
      <w:proofErr w:type="spellStart"/>
      <w:r w:rsidRPr="00472954">
        <w:rPr>
          <w:szCs w:val="24"/>
          <w:lang w:val="id-ID"/>
        </w:rPr>
        <w:t>methods</w:t>
      </w:r>
      <w:proofErr w:type="spellEnd"/>
      <w:r w:rsidRPr="00472954">
        <w:rPr>
          <w:szCs w:val="24"/>
          <w:lang w:val="id-ID"/>
        </w:rPr>
        <w:t xml:space="preserve"> </w:t>
      </w:r>
      <w:proofErr w:type="spellStart"/>
      <w:r w:rsidRPr="00472954">
        <w:rPr>
          <w:szCs w:val="24"/>
          <w:lang w:val="id-ID"/>
        </w:rPr>
        <w:t>and</w:t>
      </w:r>
      <w:proofErr w:type="spellEnd"/>
      <w:r w:rsidRPr="00472954">
        <w:rPr>
          <w:szCs w:val="24"/>
          <w:lang w:val="id-ID"/>
        </w:rPr>
        <w:t xml:space="preserve"> </w:t>
      </w:r>
      <w:proofErr w:type="spellStart"/>
      <w:r w:rsidRPr="00472954">
        <w:rPr>
          <w:szCs w:val="24"/>
          <w:lang w:val="id-ID"/>
        </w:rPr>
        <w:t>to</w:t>
      </w:r>
      <w:proofErr w:type="spellEnd"/>
      <w:r w:rsidRPr="00472954">
        <w:rPr>
          <w:szCs w:val="24"/>
          <w:lang w:val="id-ID"/>
        </w:rPr>
        <w:t xml:space="preserve"> </w:t>
      </w:r>
      <w:proofErr w:type="spellStart"/>
      <w:r w:rsidRPr="00472954">
        <w:rPr>
          <w:szCs w:val="24"/>
          <w:lang w:val="id-ID"/>
        </w:rPr>
        <w:t>expand</w:t>
      </w:r>
      <w:proofErr w:type="spellEnd"/>
      <w:r w:rsidRPr="00472954">
        <w:rPr>
          <w:szCs w:val="24"/>
          <w:lang w:val="id-ID"/>
        </w:rPr>
        <w:t xml:space="preserve"> </w:t>
      </w:r>
      <w:proofErr w:type="spellStart"/>
      <w:r w:rsidRPr="00472954">
        <w:rPr>
          <w:szCs w:val="24"/>
          <w:lang w:val="id-ID"/>
        </w:rPr>
        <w:t>the</w:t>
      </w:r>
      <w:proofErr w:type="spellEnd"/>
      <w:r w:rsidRPr="00472954">
        <w:rPr>
          <w:szCs w:val="24"/>
          <w:lang w:val="id-ID"/>
        </w:rPr>
        <w:t xml:space="preserve"> </w:t>
      </w:r>
      <w:proofErr w:type="spellStart"/>
      <w:r w:rsidRPr="00472954">
        <w:rPr>
          <w:szCs w:val="24"/>
          <w:lang w:val="id-ID"/>
        </w:rPr>
        <w:t>research</w:t>
      </w:r>
      <w:proofErr w:type="spellEnd"/>
      <w:r w:rsidRPr="00472954">
        <w:rPr>
          <w:szCs w:val="24"/>
          <w:lang w:val="id-ID"/>
        </w:rPr>
        <w:t xml:space="preserve"> </w:t>
      </w:r>
      <w:proofErr w:type="spellStart"/>
      <w:r w:rsidRPr="00472954">
        <w:rPr>
          <w:szCs w:val="24"/>
          <w:lang w:val="id-ID"/>
        </w:rPr>
        <w:t>sample</w:t>
      </w:r>
      <w:proofErr w:type="spellEnd"/>
      <w:r w:rsidRPr="00472954">
        <w:rPr>
          <w:szCs w:val="24"/>
          <w:lang w:val="id-ID"/>
        </w:rPr>
        <w:t xml:space="preserve"> </w:t>
      </w:r>
      <w:proofErr w:type="spellStart"/>
      <w:r w:rsidRPr="00472954">
        <w:rPr>
          <w:szCs w:val="24"/>
          <w:lang w:val="id-ID"/>
        </w:rPr>
        <w:t>by</w:t>
      </w:r>
      <w:proofErr w:type="spellEnd"/>
      <w:r w:rsidRPr="00472954">
        <w:rPr>
          <w:szCs w:val="24"/>
          <w:lang w:val="id-ID"/>
        </w:rPr>
        <w:t xml:space="preserve"> </w:t>
      </w:r>
      <w:proofErr w:type="spellStart"/>
      <w:r w:rsidRPr="00472954">
        <w:rPr>
          <w:szCs w:val="24"/>
          <w:lang w:val="id-ID"/>
        </w:rPr>
        <w:t>using</w:t>
      </w:r>
      <w:proofErr w:type="spellEnd"/>
      <w:r w:rsidRPr="00472954">
        <w:rPr>
          <w:szCs w:val="24"/>
          <w:lang w:val="id-ID"/>
        </w:rPr>
        <w:t xml:space="preserve"> </w:t>
      </w:r>
      <w:proofErr w:type="spellStart"/>
      <w:r w:rsidRPr="00472954">
        <w:rPr>
          <w:szCs w:val="24"/>
          <w:lang w:val="id-ID"/>
        </w:rPr>
        <w:t>the</w:t>
      </w:r>
      <w:proofErr w:type="spellEnd"/>
      <w:r w:rsidRPr="00472954">
        <w:rPr>
          <w:szCs w:val="24"/>
          <w:lang w:val="id-ID"/>
        </w:rPr>
        <w:t xml:space="preserve"> </w:t>
      </w:r>
      <w:proofErr w:type="spellStart"/>
      <w:r w:rsidRPr="00472954">
        <w:rPr>
          <w:szCs w:val="24"/>
          <w:lang w:val="id-ID"/>
        </w:rPr>
        <w:t>entire</w:t>
      </w:r>
      <w:proofErr w:type="spellEnd"/>
      <w:r w:rsidRPr="00472954">
        <w:rPr>
          <w:szCs w:val="24"/>
          <w:lang w:val="id-ID"/>
        </w:rPr>
        <w:t xml:space="preserve"> </w:t>
      </w:r>
      <w:proofErr w:type="spellStart"/>
      <w:r w:rsidRPr="00472954">
        <w:rPr>
          <w:szCs w:val="24"/>
          <w:lang w:val="id-ID"/>
        </w:rPr>
        <w:t>sample</w:t>
      </w:r>
      <w:proofErr w:type="spellEnd"/>
      <w:r w:rsidRPr="00472954">
        <w:rPr>
          <w:szCs w:val="24"/>
          <w:lang w:val="id-ID"/>
        </w:rPr>
        <w:t xml:space="preserve"> </w:t>
      </w:r>
      <w:proofErr w:type="spellStart"/>
      <w:r w:rsidRPr="00472954">
        <w:rPr>
          <w:szCs w:val="24"/>
          <w:lang w:val="id-ID"/>
        </w:rPr>
        <w:t>of</w:t>
      </w:r>
      <w:proofErr w:type="spellEnd"/>
      <w:r w:rsidRPr="00472954">
        <w:rPr>
          <w:szCs w:val="24"/>
          <w:lang w:val="id-ID"/>
        </w:rPr>
        <w:t xml:space="preserve"> </w:t>
      </w:r>
      <w:proofErr w:type="spellStart"/>
      <w:r w:rsidRPr="00472954">
        <w:rPr>
          <w:szCs w:val="24"/>
          <w:lang w:val="id-ID"/>
        </w:rPr>
        <w:t>companies</w:t>
      </w:r>
      <w:proofErr w:type="spellEnd"/>
      <w:r w:rsidRPr="00472954">
        <w:rPr>
          <w:szCs w:val="24"/>
          <w:lang w:val="id-ID"/>
        </w:rPr>
        <w:t xml:space="preserve"> </w:t>
      </w:r>
      <w:proofErr w:type="spellStart"/>
      <w:r w:rsidRPr="00472954">
        <w:rPr>
          <w:szCs w:val="24"/>
          <w:lang w:val="id-ID"/>
        </w:rPr>
        <w:t>on</w:t>
      </w:r>
      <w:proofErr w:type="spellEnd"/>
      <w:r w:rsidRPr="00472954">
        <w:rPr>
          <w:szCs w:val="24"/>
          <w:lang w:val="id-ID"/>
        </w:rPr>
        <w:t xml:space="preserve"> </w:t>
      </w:r>
      <w:proofErr w:type="spellStart"/>
      <w:r w:rsidRPr="00472954">
        <w:rPr>
          <w:szCs w:val="24"/>
          <w:lang w:val="id-ID"/>
        </w:rPr>
        <w:t>the</w:t>
      </w:r>
      <w:proofErr w:type="spellEnd"/>
      <w:r w:rsidRPr="00472954">
        <w:rPr>
          <w:szCs w:val="24"/>
          <w:lang w:val="id-ID"/>
        </w:rPr>
        <w:t xml:space="preserve"> IDX. </w:t>
      </w:r>
      <w:proofErr w:type="spellStart"/>
      <w:r w:rsidRPr="00472954">
        <w:rPr>
          <w:szCs w:val="24"/>
          <w:lang w:val="id-ID"/>
        </w:rPr>
        <w:t>And</w:t>
      </w:r>
      <w:proofErr w:type="spellEnd"/>
      <w:r w:rsidRPr="00472954">
        <w:rPr>
          <w:szCs w:val="24"/>
          <w:lang w:val="id-ID"/>
        </w:rPr>
        <w:t xml:space="preserve"> </w:t>
      </w:r>
      <w:proofErr w:type="spellStart"/>
      <w:r w:rsidRPr="00472954">
        <w:rPr>
          <w:szCs w:val="24"/>
          <w:lang w:val="id-ID"/>
        </w:rPr>
        <w:t>further</w:t>
      </w:r>
      <w:proofErr w:type="spellEnd"/>
      <w:r w:rsidRPr="00472954">
        <w:rPr>
          <w:szCs w:val="24"/>
          <w:lang w:val="id-ID"/>
        </w:rPr>
        <w:t xml:space="preserve"> </w:t>
      </w:r>
      <w:proofErr w:type="spellStart"/>
      <w:r w:rsidRPr="00472954">
        <w:rPr>
          <w:szCs w:val="24"/>
          <w:lang w:val="id-ID"/>
        </w:rPr>
        <w:t>researchers</w:t>
      </w:r>
      <w:proofErr w:type="spellEnd"/>
      <w:r w:rsidRPr="00472954">
        <w:rPr>
          <w:szCs w:val="24"/>
          <w:lang w:val="id-ID"/>
        </w:rPr>
        <w:t xml:space="preserve"> </w:t>
      </w:r>
      <w:proofErr w:type="spellStart"/>
      <w:r w:rsidRPr="00472954">
        <w:rPr>
          <w:szCs w:val="24"/>
          <w:lang w:val="id-ID"/>
        </w:rPr>
        <w:t>can</w:t>
      </w:r>
      <w:proofErr w:type="spellEnd"/>
      <w:r w:rsidRPr="00472954">
        <w:rPr>
          <w:szCs w:val="24"/>
          <w:lang w:val="id-ID"/>
        </w:rPr>
        <w:t xml:space="preserve"> </w:t>
      </w:r>
      <w:proofErr w:type="spellStart"/>
      <w:r w:rsidRPr="00472954">
        <w:rPr>
          <w:szCs w:val="24"/>
          <w:lang w:val="id-ID"/>
        </w:rPr>
        <w:t>add</w:t>
      </w:r>
      <w:proofErr w:type="spellEnd"/>
      <w:r w:rsidRPr="00472954">
        <w:rPr>
          <w:szCs w:val="24"/>
          <w:lang w:val="id-ID"/>
        </w:rPr>
        <w:t xml:space="preserve"> </w:t>
      </w:r>
      <w:proofErr w:type="spellStart"/>
      <w:r w:rsidRPr="00472954">
        <w:rPr>
          <w:szCs w:val="24"/>
          <w:lang w:val="id-ID"/>
        </w:rPr>
        <w:t>several</w:t>
      </w:r>
      <w:proofErr w:type="spellEnd"/>
      <w:r w:rsidRPr="00472954">
        <w:rPr>
          <w:szCs w:val="24"/>
          <w:lang w:val="id-ID"/>
        </w:rPr>
        <w:t xml:space="preserve"> </w:t>
      </w:r>
      <w:proofErr w:type="spellStart"/>
      <w:r w:rsidRPr="00472954">
        <w:rPr>
          <w:szCs w:val="24"/>
          <w:lang w:val="id-ID"/>
        </w:rPr>
        <w:t>other</w:t>
      </w:r>
      <w:proofErr w:type="spellEnd"/>
      <w:r w:rsidRPr="00472954">
        <w:rPr>
          <w:szCs w:val="24"/>
          <w:lang w:val="id-ID"/>
        </w:rPr>
        <w:t xml:space="preserve"> </w:t>
      </w:r>
      <w:proofErr w:type="spellStart"/>
      <w:r w:rsidRPr="00472954">
        <w:rPr>
          <w:szCs w:val="24"/>
          <w:lang w:val="id-ID"/>
        </w:rPr>
        <w:t>variables</w:t>
      </w:r>
      <w:proofErr w:type="spellEnd"/>
      <w:r w:rsidRPr="00472954">
        <w:rPr>
          <w:szCs w:val="24"/>
          <w:lang w:val="id-ID"/>
        </w:rPr>
        <w:t xml:space="preserve"> </w:t>
      </w:r>
      <w:proofErr w:type="spellStart"/>
      <w:r w:rsidRPr="00472954">
        <w:rPr>
          <w:szCs w:val="24"/>
          <w:lang w:val="id-ID"/>
        </w:rPr>
        <w:t>that</w:t>
      </w:r>
      <w:proofErr w:type="spellEnd"/>
      <w:r w:rsidRPr="00472954">
        <w:rPr>
          <w:szCs w:val="24"/>
          <w:lang w:val="id-ID"/>
        </w:rPr>
        <w:t xml:space="preserve"> </w:t>
      </w:r>
      <w:proofErr w:type="spellStart"/>
      <w:r w:rsidRPr="00472954">
        <w:rPr>
          <w:szCs w:val="24"/>
          <w:lang w:val="id-ID"/>
        </w:rPr>
        <w:t>can</w:t>
      </w:r>
      <w:proofErr w:type="spellEnd"/>
      <w:r w:rsidRPr="00472954">
        <w:rPr>
          <w:szCs w:val="24"/>
          <w:lang w:val="id-ID"/>
        </w:rPr>
        <w:t xml:space="preserve"> </w:t>
      </w:r>
      <w:proofErr w:type="spellStart"/>
      <w:r w:rsidRPr="00472954">
        <w:rPr>
          <w:szCs w:val="24"/>
          <w:lang w:val="id-ID"/>
        </w:rPr>
        <w:t>affect</w:t>
      </w:r>
      <w:proofErr w:type="spellEnd"/>
      <w:r w:rsidRPr="00472954">
        <w:rPr>
          <w:szCs w:val="24"/>
          <w:lang w:val="id-ID"/>
        </w:rPr>
        <w:t xml:space="preserve"> </w:t>
      </w:r>
      <w:proofErr w:type="spellStart"/>
      <w:r w:rsidRPr="00472954">
        <w:rPr>
          <w:szCs w:val="24"/>
          <w:lang w:val="id-ID"/>
        </w:rPr>
        <w:t>the</w:t>
      </w:r>
      <w:proofErr w:type="spellEnd"/>
      <w:r w:rsidRPr="00472954">
        <w:rPr>
          <w:szCs w:val="24"/>
          <w:lang w:val="id-ID"/>
        </w:rPr>
        <w:t xml:space="preserve"> </w:t>
      </w:r>
      <w:proofErr w:type="spellStart"/>
      <w:r w:rsidRPr="00472954">
        <w:rPr>
          <w:szCs w:val="24"/>
          <w:lang w:val="id-ID"/>
        </w:rPr>
        <w:t>value</w:t>
      </w:r>
      <w:proofErr w:type="spellEnd"/>
      <w:r w:rsidRPr="00472954">
        <w:rPr>
          <w:szCs w:val="24"/>
          <w:lang w:val="id-ID"/>
        </w:rPr>
        <w:t xml:space="preserve"> </w:t>
      </w:r>
      <w:proofErr w:type="spellStart"/>
      <w:r w:rsidRPr="00472954">
        <w:rPr>
          <w:szCs w:val="24"/>
          <w:lang w:val="id-ID"/>
        </w:rPr>
        <w:t>of</w:t>
      </w:r>
      <w:proofErr w:type="spellEnd"/>
      <w:r w:rsidRPr="00472954">
        <w:rPr>
          <w:szCs w:val="24"/>
          <w:lang w:val="id-ID"/>
        </w:rPr>
        <w:t xml:space="preserve"> </w:t>
      </w:r>
      <w:proofErr w:type="spellStart"/>
      <w:r w:rsidRPr="00472954">
        <w:rPr>
          <w:szCs w:val="24"/>
          <w:lang w:val="id-ID"/>
        </w:rPr>
        <w:t>the</w:t>
      </w:r>
      <w:proofErr w:type="spellEnd"/>
      <w:r w:rsidRPr="00472954">
        <w:rPr>
          <w:szCs w:val="24"/>
          <w:lang w:val="id-ID"/>
        </w:rPr>
        <w:t xml:space="preserve"> </w:t>
      </w:r>
      <w:proofErr w:type="spellStart"/>
      <w:r w:rsidRPr="00472954">
        <w:rPr>
          <w:szCs w:val="24"/>
          <w:lang w:val="id-ID"/>
        </w:rPr>
        <w:t>company</w:t>
      </w:r>
      <w:proofErr w:type="spellEnd"/>
      <w:r w:rsidRPr="00472954">
        <w:rPr>
          <w:szCs w:val="24"/>
          <w:lang w:val="id-ID"/>
        </w:rPr>
        <w:t>.</w:t>
      </w:r>
    </w:p>
    <w:p w14:paraId="5871FF4B" w14:textId="77777777" w:rsidR="00472954" w:rsidRPr="00020CCF" w:rsidRDefault="00472954" w:rsidP="008A398D">
      <w:pPr>
        <w:ind w:firstLine="426"/>
        <w:jc w:val="both"/>
        <w:rPr>
          <w:szCs w:val="24"/>
          <w:lang w:val="id-ID"/>
        </w:rPr>
      </w:pPr>
    </w:p>
    <w:p w14:paraId="56984356"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592746A4"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lang w:val="id-ID"/>
        </w:rPr>
        <w:t xml:space="preserve">Agus, S. (2020). </w:t>
      </w:r>
      <w:r w:rsidRPr="00472954">
        <w:rPr>
          <w:rFonts w:eastAsia="Calibri"/>
          <w:i/>
          <w:iCs/>
          <w:sz w:val="22"/>
          <w:szCs w:val="22"/>
          <w:lang w:val="id-ID"/>
        </w:rPr>
        <w:t>Manajemen Keuangan Dan Bisnis: Teori Dan Aplikasi</w:t>
      </w:r>
      <w:r w:rsidRPr="00472954">
        <w:rPr>
          <w:rFonts w:eastAsia="Calibri"/>
          <w:sz w:val="22"/>
          <w:szCs w:val="22"/>
          <w:lang w:val="id-ID"/>
        </w:rPr>
        <w:t>. Jakarta: PT. Gramedia Pustaka Utama.</w:t>
      </w:r>
    </w:p>
    <w:p w14:paraId="52CDEE4C" w14:textId="77777777" w:rsidR="00472954" w:rsidRPr="00472954" w:rsidRDefault="00472954" w:rsidP="00472954">
      <w:pPr>
        <w:autoSpaceDE w:val="0"/>
        <w:autoSpaceDN w:val="0"/>
        <w:adjustRightInd w:val="0"/>
        <w:ind w:left="426" w:hanging="426"/>
        <w:jc w:val="both"/>
        <w:rPr>
          <w:rFonts w:eastAsia="Calibri"/>
          <w:color w:val="000000"/>
          <w:sz w:val="22"/>
          <w:szCs w:val="22"/>
          <w:lang w:val="id-ID"/>
        </w:rPr>
      </w:pPr>
      <w:r w:rsidRPr="00472954">
        <w:rPr>
          <w:rFonts w:eastAsia="Calibri"/>
          <w:color w:val="000000"/>
          <w:sz w:val="22"/>
          <w:szCs w:val="22"/>
          <w:lang w:val="id-ID"/>
        </w:rPr>
        <w:t xml:space="preserve">Arif, D. (2014). Pengaruh Produk Domestik Bruto, Jumlah Uang Beredar, Inflasi Dan </w:t>
      </w:r>
      <w:proofErr w:type="spellStart"/>
      <w:r w:rsidRPr="00472954">
        <w:rPr>
          <w:rFonts w:eastAsia="Calibri"/>
          <w:color w:val="000000"/>
          <w:sz w:val="22"/>
          <w:szCs w:val="22"/>
          <w:lang w:val="id-ID"/>
        </w:rPr>
        <w:t>Bi</w:t>
      </w:r>
      <w:proofErr w:type="spellEnd"/>
      <w:r w:rsidRPr="00472954">
        <w:rPr>
          <w:rFonts w:eastAsia="Calibri"/>
          <w:color w:val="000000"/>
          <w:sz w:val="22"/>
          <w:szCs w:val="22"/>
          <w:lang w:val="id-ID"/>
        </w:rPr>
        <w:t xml:space="preserve"> Rate Terhadap Indeks Harga Saham Gabungan Di Indonesia Periode 2007 – 2013. </w:t>
      </w:r>
      <w:r w:rsidRPr="00472954">
        <w:rPr>
          <w:rFonts w:eastAsia="Calibri"/>
          <w:i/>
          <w:iCs/>
          <w:color w:val="000000"/>
          <w:sz w:val="22"/>
          <w:szCs w:val="22"/>
          <w:lang w:val="id-ID"/>
        </w:rPr>
        <w:t xml:space="preserve">Jurnal Ekonomi Bisnis. </w:t>
      </w:r>
      <w:r w:rsidRPr="00472954">
        <w:rPr>
          <w:rFonts w:eastAsia="Calibri"/>
          <w:color w:val="000000"/>
          <w:sz w:val="22"/>
          <w:szCs w:val="22"/>
          <w:lang w:val="id-ID"/>
        </w:rPr>
        <w:t>19(3): 63-77.</w:t>
      </w:r>
    </w:p>
    <w:p w14:paraId="413BC8F4"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Beriwisnu</w:t>
      </w:r>
      <w:proofErr w:type="spellEnd"/>
      <w:r w:rsidRPr="00472954">
        <w:rPr>
          <w:rFonts w:eastAsia="Calibri"/>
          <w:sz w:val="22"/>
          <w:szCs w:val="22"/>
        </w:rPr>
        <w:t xml:space="preserve">, T.C. (2017).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Pertumbuhan</w:t>
      </w:r>
      <w:proofErr w:type="spellEnd"/>
      <w:r w:rsidRPr="00472954">
        <w:rPr>
          <w:rFonts w:eastAsia="Calibri"/>
          <w:sz w:val="22"/>
          <w:szCs w:val="22"/>
        </w:rPr>
        <w:t xml:space="preserve"> Ekonomi, </w:t>
      </w:r>
      <w:proofErr w:type="spellStart"/>
      <w:r w:rsidRPr="00472954">
        <w:rPr>
          <w:rFonts w:eastAsia="Calibri"/>
          <w:sz w:val="22"/>
          <w:szCs w:val="22"/>
        </w:rPr>
        <w:t>Industri</w:t>
      </w:r>
      <w:proofErr w:type="spellEnd"/>
      <w:r w:rsidRPr="00472954">
        <w:rPr>
          <w:rFonts w:eastAsia="Calibri"/>
          <w:sz w:val="22"/>
          <w:szCs w:val="22"/>
        </w:rPr>
        <w:t xml:space="preserve"> Dan Kinerja </w:t>
      </w:r>
      <w:proofErr w:type="spellStart"/>
      <w:r w:rsidRPr="00472954">
        <w:rPr>
          <w:rFonts w:eastAsia="Calibri"/>
          <w:sz w:val="22"/>
          <w:szCs w:val="22"/>
        </w:rPr>
        <w:t>Keuangan</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Ilmu</w:t>
      </w:r>
      <w:proofErr w:type="spellEnd"/>
      <w:r w:rsidRPr="00472954">
        <w:rPr>
          <w:rFonts w:eastAsia="Calibri"/>
          <w:i/>
          <w:iCs/>
          <w:sz w:val="22"/>
          <w:szCs w:val="22"/>
        </w:rPr>
        <w:t xml:space="preserve"> Dan </w:t>
      </w:r>
      <w:proofErr w:type="spellStart"/>
      <w:r w:rsidRPr="00472954">
        <w:rPr>
          <w:rFonts w:eastAsia="Calibri"/>
          <w:i/>
          <w:iCs/>
          <w:sz w:val="22"/>
          <w:szCs w:val="22"/>
        </w:rPr>
        <w:t>Riset</w:t>
      </w:r>
      <w:proofErr w:type="spellEnd"/>
      <w:r w:rsidRPr="00472954">
        <w:rPr>
          <w:rFonts w:eastAsia="Calibri"/>
          <w:i/>
          <w:iCs/>
          <w:sz w:val="22"/>
          <w:szCs w:val="22"/>
        </w:rPr>
        <w:t xml:space="preserve"> </w:t>
      </w:r>
      <w:proofErr w:type="spellStart"/>
      <w:r w:rsidRPr="00472954">
        <w:rPr>
          <w:rFonts w:eastAsia="Calibri"/>
          <w:i/>
          <w:iCs/>
          <w:sz w:val="22"/>
          <w:szCs w:val="22"/>
        </w:rPr>
        <w:t>Akuntansi</w:t>
      </w:r>
      <w:proofErr w:type="spellEnd"/>
      <w:r w:rsidRPr="00472954">
        <w:rPr>
          <w:rFonts w:eastAsia="Calibri"/>
          <w:i/>
          <w:iCs/>
          <w:sz w:val="22"/>
          <w:szCs w:val="22"/>
        </w:rPr>
        <w:t xml:space="preserve">. </w:t>
      </w:r>
      <w:r w:rsidRPr="00472954">
        <w:rPr>
          <w:rFonts w:eastAsia="Calibri"/>
          <w:sz w:val="22"/>
          <w:szCs w:val="22"/>
        </w:rPr>
        <w:t>6(12): 1-22.</w:t>
      </w:r>
    </w:p>
    <w:p w14:paraId="2D990F56" w14:textId="77777777" w:rsidR="00472954" w:rsidRPr="00472954" w:rsidRDefault="00472954" w:rsidP="00472954">
      <w:pPr>
        <w:autoSpaceDE w:val="0"/>
        <w:autoSpaceDN w:val="0"/>
        <w:adjustRightInd w:val="0"/>
        <w:ind w:left="426" w:hanging="426"/>
        <w:jc w:val="both"/>
        <w:rPr>
          <w:rFonts w:eastAsia="Calibri"/>
          <w:i/>
          <w:iCs/>
          <w:sz w:val="22"/>
          <w:szCs w:val="22"/>
        </w:rPr>
      </w:pPr>
      <w:proofErr w:type="spellStart"/>
      <w:r w:rsidRPr="00472954">
        <w:rPr>
          <w:rFonts w:eastAsia="Calibri"/>
          <w:sz w:val="22"/>
          <w:szCs w:val="22"/>
        </w:rPr>
        <w:t>Binangkit</w:t>
      </w:r>
      <w:proofErr w:type="spellEnd"/>
      <w:r w:rsidRPr="00472954">
        <w:rPr>
          <w:rFonts w:eastAsia="Calibri"/>
          <w:sz w:val="22"/>
          <w:szCs w:val="22"/>
        </w:rPr>
        <w:t xml:space="preserve">, A.B., </w:t>
      </w:r>
      <w:proofErr w:type="spellStart"/>
      <w:r w:rsidRPr="00472954">
        <w:rPr>
          <w:rFonts w:eastAsia="Calibri"/>
          <w:sz w:val="22"/>
          <w:szCs w:val="22"/>
        </w:rPr>
        <w:t>Raharjo</w:t>
      </w:r>
      <w:proofErr w:type="spellEnd"/>
      <w:r w:rsidRPr="00472954">
        <w:rPr>
          <w:rFonts w:eastAsia="Calibri"/>
          <w:sz w:val="22"/>
          <w:szCs w:val="22"/>
        </w:rPr>
        <w:t xml:space="preserve">, S. (2014).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Struktur</w:t>
      </w:r>
      <w:proofErr w:type="spellEnd"/>
      <w:r w:rsidRPr="00472954">
        <w:rPr>
          <w:rFonts w:eastAsia="Calibri"/>
          <w:sz w:val="22"/>
          <w:szCs w:val="22"/>
        </w:rPr>
        <w:t xml:space="preserve"> Modal </w:t>
      </w:r>
      <w:proofErr w:type="spellStart"/>
      <w:r w:rsidRPr="00472954">
        <w:rPr>
          <w:rFonts w:eastAsia="Calibri"/>
          <w:sz w:val="22"/>
          <w:szCs w:val="22"/>
        </w:rPr>
        <w:t>terhadap</w:t>
      </w:r>
      <w:proofErr w:type="spellEnd"/>
      <w:r w:rsidRPr="00472954">
        <w:rPr>
          <w:rFonts w:eastAsia="Calibri"/>
          <w:sz w:val="22"/>
          <w:szCs w:val="22"/>
        </w:rPr>
        <w:t xml:space="preserve"> Kinerja Perusahaan dan Harga Saham pada Perusahaan </w:t>
      </w:r>
      <w:proofErr w:type="spellStart"/>
      <w:r w:rsidRPr="00472954">
        <w:rPr>
          <w:rFonts w:eastAsia="Calibri"/>
          <w:sz w:val="22"/>
          <w:szCs w:val="22"/>
        </w:rPr>
        <w:t>Manufaktur</w:t>
      </w:r>
      <w:proofErr w:type="spellEnd"/>
      <w:r w:rsidRPr="00472954">
        <w:rPr>
          <w:rFonts w:eastAsia="Calibri"/>
          <w:sz w:val="22"/>
          <w:szCs w:val="22"/>
        </w:rPr>
        <w:t xml:space="preserve"> di Bursa </w:t>
      </w:r>
      <w:proofErr w:type="spellStart"/>
      <w:r w:rsidRPr="00472954">
        <w:rPr>
          <w:rFonts w:eastAsia="Calibri"/>
          <w:sz w:val="22"/>
          <w:szCs w:val="22"/>
        </w:rPr>
        <w:t>Efek</w:t>
      </w:r>
      <w:proofErr w:type="spellEnd"/>
      <w:r w:rsidRPr="00472954">
        <w:rPr>
          <w:rFonts w:eastAsia="Calibri"/>
          <w:sz w:val="22"/>
          <w:szCs w:val="22"/>
        </w:rPr>
        <w:t xml:space="preserve"> Indonesia. </w:t>
      </w:r>
      <w:proofErr w:type="spellStart"/>
      <w:r w:rsidRPr="00472954">
        <w:rPr>
          <w:rFonts w:eastAsia="Calibri"/>
          <w:i/>
          <w:iCs/>
          <w:sz w:val="22"/>
          <w:szCs w:val="22"/>
        </w:rPr>
        <w:t>Aktual</w:t>
      </w:r>
      <w:proofErr w:type="spellEnd"/>
      <w:r w:rsidRPr="00472954">
        <w:rPr>
          <w:rFonts w:eastAsia="Calibri"/>
          <w:i/>
          <w:iCs/>
          <w:sz w:val="22"/>
          <w:szCs w:val="22"/>
        </w:rPr>
        <w:t xml:space="preserve"> </w:t>
      </w:r>
      <w:proofErr w:type="spellStart"/>
      <w:r w:rsidRPr="00472954">
        <w:rPr>
          <w:rFonts w:eastAsia="Calibri"/>
          <w:i/>
          <w:iCs/>
          <w:sz w:val="22"/>
          <w:szCs w:val="22"/>
        </w:rPr>
        <w:t>Edisi</w:t>
      </w:r>
      <w:proofErr w:type="spellEnd"/>
      <w:r w:rsidRPr="00472954">
        <w:rPr>
          <w:rFonts w:eastAsia="Calibri"/>
          <w:i/>
          <w:iCs/>
          <w:sz w:val="22"/>
          <w:szCs w:val="22"/>
        </w:rPr>
        <w:t xml:space="preserve"> </w:t>
      </w:r>
      <w:proofErr w:type="spellStart"/>
      <w:r w:rsidRPr="00472954">
        <w:rPr>
          <w:rFonts w:eastAsia="Calibri"/>
          <w:i/>
          <w:iCs/>
          <w:sz w:val="22"/>
          <w:szCs w:val="22"/>
        </w:rPr>
        <w:t>Pebruari</w:t>
      </w:r>
      <w:proofErr w:type="spellEnd"/>
      <w:r w:rsidRPr="00472954">
        <w:rPr>
          <w:rFonts w:eastAsia="Calibri"/>
          <w:sz w:val="22"/>
          <w:szCs w:val="22"/>
        </w:rPr>
        <w:t>. 1(2): 24-26.</w:t>
      </w:r>
    </w:p>
    <w:p w14:paraId="63EE0FC9"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Cahyati</w:t>
      </w:r>
      <w:proofErr w:type="spellEnd"/>
      <w:r w:rsidRPr="00472954">
        <w:rPr>
          <w:rFonts w:eastAsia="Calibri"/>
          <w:sz w:val="22"/>
          <w:szCs w:val="22"/>
        </w:rPr>
        <w:t xml:space="preserve">, A., </w:t>
      </w:r>
      <w:proofErr w:type="spellStart"/>
      <w:r w:rsidRPr="00472954">
        <w:rPr>
          <w:rFonts w:eastAsia="Calibri"/>
          <w:sz w:val="22"/>
          <w:szCs w:val="22"/>
        </w:rPr>
        <w:t>Ardiansari</w:t>
      </w:r>
      <w:proofErr w:type="spellEnd"/>
      <w:r w:rsidRPr="00472954">
        <w:rPr>
          <w:rFonts w:eastAsia="Calibri"/>
          <w:sz w:val="22"/>
          <w:szCs w:val="22"/>
        </w:rPr>
        <w:t xml:space="preserve">, A. (2015).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Faktor</w:t>
      </w:r>
      <w:proofErr w:type="spellEnd"/>
      <w:r w:rsidRPr="00472954">
        <w:rPr>
          <w:rFonts w:eastAsia="Calibri"/>
          <w:sz w:val="22"/>
          <w:szCs w:val="22"/>
        </w:rPr>
        <w:t xml:space="preserve"> Ekonomi Makro Dan Kinerja </w:t>
      </w:r>
      <w:proofErr w:type="spellStart"/>
      <w:r w:rsidRPr="00472954">
        <w:rPr>
          <w:rFonts w:eastAsia="Calibri"/>
          <w:sz w:val="22"/>
          <w:szCs w:val="22"/>
        </w:rPr>
        <w:t>Keuangan</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w:t>
      </w:r>
      <w:r w:rsidRPr="00472954">
        <w:rPr>
          <w:rFonts w:eastAsia="Calibri"/>
          <w:i/>
          <w:iCs/>
          <w:sz w:val="22"/>
          <w:szCs w:val="22"/>
        </w:rPr>
        <w:t>Management Analysis Journal</w:t>
      </w:r>
      <w:r w:rsidRPr="00472954">
        <w:rPr>
          <w:rFonts w:eastAsia="Calibri"/>
          <w:sz w:val="22"/>
          <w:szCs w:val="22"/>
        </w:rPr>
        <w:t>. 4(1): 10-21.</w:t>
      </w:r>
    </w:p>
    <w:p w14:paraId="3EE07F0A" w14:textId="77777777" w:rsidR="00472954" w:rsidRPr="00472954" w:rsidRDefault="00472954" w:rsidP="00472954">
      <w:pPr>
        <w:autoSpaceDE w:val="0"/>
        <w:autoSpaceDN w:val="0"/>
        <w:adjustRightInd w:val="0"/>
        <w:ind w:left="426" w:hanging="426"/>
        <w:jc w:val="both"/>
        <w:rPr>
          <w:rFonts w:eastAsia="Calibri"/>
          <w:i/>
          <w:iCs/>
          <w:color w:val="000000"/>
          <w:sz w:val="22"/>
          <w:szCs w:val="22"/>
          <w:lang w:val="id-ID"/>
        </w:rPr>
      </w:pPr>
      <w:r w:rsidRPr="00472954">
        <w:rPr>
          <w:rFonts w:eastAsia="Calibri"/>
          <w:color w:val="000000"/>
          <w:sz w:val="22"/>
          <w:szCs w:val="22"/>
          <w:lang w:val="id-ID"/>
        </w:rPr>
        <w:t xml:space="preserve">Dewi, N.A. (2020). Pengaruh </w:t>
      </w:r>
      <w:proofErr w:type="spellStart"/>
      <w:r w:rsidRPr="00472954">
        <w:rPr>
          <w:rFonts w:eastAsia="Calibri"/>
          <w:color w:val="000000"/>
          <w:sz w:val="22"/>
          <w:szCs w:val="22"/>
          <w:lang w:val="id-ID"/>
        </w:rPr>
        <w:t>Corporate</w:t>
      </w:r>
      <w:proofErr w:type="spellEnd"/>
      <w:r w:rsidRPr="00472954">
        <w:rPr>
          <w:rFonts w:eastAsia="Calibri"/>
          <w:color w:val="000000"/>
          <w:sz w:val="22"/>
          <w:szCs w:val="22"/>
          <w:lang w:val="id-ID"/>
        </w:rPr>
        <w:t xml:space="preserve"> </w:t>
      </w:r>
      <w:proofErr w:type="spellStart"/>
      <w:r w:rsidRPr="00472954">
        <w:rPr>
          <w:rFonts w:eastAsia="Calibri"/>
          <w:color w:val="000000"/>
          <w:sz w:val="22"/>
          <w:szCs w:val="22"/>
          <w:lang w:val="id-ID"/>
        </w:rPr>
        <w:t>Governance</w:t>
      </w:r>
      <w:proofErr w:type="spellEnd"/>
      <w:r w:rsidRPr="00472954">
        <w:rPr>
          <w:rFonts w:eastAsia="Calibri"/>
          <w:color w:val="000000"/>
          <w:sz w:val="22"/>
          <w:szCs w:val="22"/>
          <w:lang w:val="id-ID"/>
        </w:rPr>
        <w:t xml:space="preserve"> </w:t>
      </w:r>
      <w:proofErr w:type="spellStart"/>
      <w:r w:rsidRPr="00472954">
        <w:rPr>
          <w:rFonts w:eastAsia="Calibri"/>
          <w:color w:val="000000"/>
          <w:sz w:val="22"/>
          <w:szCs w:val="22"/>
          <w:lang w:val="id-ID"/>
        </w:rPr>
        <w:t>Terhdap</w:t>
      </w:r>
      <w:proofErr w:type="spellEnd"/>
      <w:r w:rsidRPr="00472954">
        <w:rPr>
          <w:rFonts w:eastAsia="Calibri"/>
          <w:color w:val="000000"/>
          <w:sz w:val="22"/>
          <w:szCs w:val="22"/>
          <w:lang w:val="id-ID"/>
        </w:rPr>
        <w:t xml:space="preserve"> Nilai Perusahaan Dengan Kinerja Keuangan Sebagai Variabel </w:t>
      </w:r>
      <w:proofErr w:type="spellStart"/>
      <w:r w:rsidRPr="00472954">
        <w:rPr>
          <w:rFonts w:eastAsia="Calibri"/>
          <w:color w:val="000000"/>
          <w:sz w:val="22"/>
          <w:szCs w:val="22"/>
          <w:lang w:val="id-ID"/>
        </w:rPr>
        <w:t>Moderasi</w:t>
      </w:r>
      <w:proofErr w:type="spellEnd"/>
      <w:r w:rsidRPr="00472954">
        <w:rPr>
          <w:rFonts w:eastAsia="Calibri"/>
          <w:color w:val="000000"/>
          <w:sz w:val="22"/>
          <w:szCs w:val="22"/>
          <w:lang w:val="id-ID"/>
        </w:rPr>
        <w:t xml:space="preserve">. </w:t>
      </w:r>
      <w:r w:rsidRPr="00472954">
        <w:rPr>
          <w:rFonts w:eastAsia="Calibri"/>
          <w:i/>
          <w:iCs/>
          <w:color w:val="000000"/>
          <w:sz w:val="22"/>
          <w:szCs w:val="22"/>
          <w:lang w:val="id-ID"/>
        </w:rPr>
        <w:t xml:space="preserve">Jurnal Riset </w:t>
      </w:r>
      <w:proofErr w:type="spellStart"/>
      <w:r w:rsidRPr="00472954">
        <w:rPr>
          <w:rFonts w:eastAsia="Calibri"/>
          <w:i/>
          <w:iCs/>
          <w:color w:val="000000"/>
          <w:sz w:val="22"/>
          <w:szCs w:val="22"/>
          <w:lang w:val="id-ID"/>
        </w:rPr>
        <w:t>Akuntasi</w:t>
      </w:r>
      <w:proofErr w:type="spellEnd"/>
      <w:r w:rsidRPr="00472954">
        <w:rPr>
          <w:rFonts w:eastAsia="Calibri"/>
          <w:i/>
          <w:iCs/>
          <w:color w:val="000000"/>
          <w:sz w:val="22"/>
          <w:szCs w:val="22"/>
          <w:lang w:val="id-ID"/>
        </w:rPr>
        <w:t xml:space="preserve"> &amp; Komputerisasi Akuntansi. </w:t>
      </w:r>
      <w:r w:rsidRPr="00472954">
        <w:rPr>
          <w:rFonts w:eastAsia="Calibri"/>
          <w:color w:val="000000"/>
          <w:sz w:val="22"/>
          <w:szCs w:val="22"/>
          <w:lang w:val="id-ID"/>
        </w:rPr>
        <w:t>11(1): 133-157.</w:t>
      </w:r>
    </w:p>
    <w:p w14:paraId="4576877C" w14:textId="77777777" w:rsidR="00472954" w:rsidRPr="00472954" w:rsidRDefault="00472954" w:rsidP="00472954">
      <w:pPr>
        <w:ind w:left="426" w:hanging="426"/>
        <w:jc w:val="both"/>
        <w:rPr>
          <w:rFonts w:eastAsia="Calibri"/>
          <w:sz w:val="22"/>
          <w:szCs w:val="22"/>
        </w:rPr>
      </w:pPr>
      <w:r w:rsidRPr="00472954">
        <w:rPr>
          <w:rFonts w:eastAsia="Calibri"/>
          <w:sz w:val="22"/>
          <w:szCs w:val="22"/>
        </w:rPr>
        <w:t xml:space="preserve">Fahmi, I. (2017). </w:t>
      </w:r>
      <w:proofErr w:type="spellStart"/>
      <w:r w:rsidRPr="00472954">
        <w:rPr>
          <w:rFonts w:eastAsia="Calibri"/>
          <w:i/>
          <w:iCs/>
          <w:sz w:val="22"/>
          <w:szCs w:val="22"/>
        </w:rPr>
        <w:t>Analisis</w:t>
      </w:r>
      <w:proofErr w:type="spellEnd"/>
      <w:r w:rsidRPr="00472954">
        <w:rPr>
          <w:rFonts w:eastAsia="Calibri"/>
          <w:i/>
          <w:iCs/>
          <w:sz w:val="22"/>
          <w:szCs w:val="22"/>
        </w:rPr>
        <w:t xml:space="preserve"> </w:t>
      </w:r>
      <w:proofErr w:type="spellStart"/>
      <w:r w:rsidRPr="00472954">
        <w:rPr>
          <w:rFonts w:eastAsia="Calibri"/>
          <w:i/>
          <w:iCs/>
          <w:sz w:val="22"/>
          <w:szCs w:val="22"/>
        </w:rPr>
        <w:t>Laporan</w:t>
      </w:r>
      <w:proofErr w:type="spellEnd"/>
      <w:r w:rsidRPr="00472954">
        <w:rPr>
          <w:rFonts w:eastAsia="Calibri"/>
          <w:i/>
          <w:iCs/>
          <w:sz w:val="22"/>
          <w:szCs w:val="22"/>
        </w:rPr>
        <w:t xml:space="preserve"> </w:t>
      </w:r>
      <w:proofErr w:type="spellStart"/>
      <w:r w:rsidRPr="00472954">
        <w:rPr>
          <w:rFonts w:eastAsia="Calibri"/>
          <w:i/>
          <w:iCs/>
          <w:sz w:val="22"/>
          <w:szCs w:val="22"/>
        </w:rPr>
        <w:t>Keuangan</w:t>
      </w:r>
      <w:proofErr w:type="spellEnd"/>
      <w:r w:rsidRPr="00472954">
        <w:rPr>
          <w:rFonts w:eastAsia="Calibri"/>
          <w:sz w:val="22"/>
          <w:szCs w:val="22"/>
        </w:rPr>
        <w:t xml:space="preserve">. Bandung: </w:t>
      </w:r>
      <w:proofErr w:type="spellStart"/>
      <w:r w:rsidRPr="00472954">
        <w:rPr>
          <w:rFonts w:eastAsia="Calibri"/>
          <w:sz w:val="22"/>
          <w:szCs w:val="22"/>
        </w:rPr>
        <w:t>Alfabeta</w:t>
      </w:r>
      <w:proofErr w:type="spellEnd"/>
      <w:r w:rsidRPr="00472954">
        <w:rPr>
          <w:rFonts w:eastAsia="Calibri"/>
          <w:sz w:val="22"/>
          <w:szCs w:val="22"/>
        </w:rPr>
        <w:t>.</w:t>
      </w:r>
    </w:p>
    <w:p w14:paraId="6F388C9E"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lang w:val="id-ID"/>
        </w:rPr>
        <w:t xml:space="preserve">Fauziyah, F. (2017). </w:t>
      </w:r>
      <w:r w:rsidRPr="00472954">
        <w:rPr>
          <w:rFonts w:eastAsia="Calibri"/>
          <w:i/>
          <w:iCs/>
          <w:sz w:val="22"/>
          <w:szCs w:val="22"/>
          <w:lang w:val="id-ID"/>
        </w:rPr>
        <w:t xml:space="preserve">Kesehatan Bank, Kebijakan Dividen Dan Nilai Perusahaan (Teori Dan Kajian </w:t>
      </w:r>
      <w:proofErr w:type="spellStart"/>
      <w:r w:rsidRPr="00472954">
        <w:rPr>
          <w:rFonts w:eastAsia="Calibri"/>
          <w:i/>
          <w:iCs/>
          <w:sz w:val="22"/>
          <w:szCs w:val="22"/>
          <w:lang w:val="id-ID"/>
        </w:rPr>
        <w:t>EmPiris</w:t>
      </w:r>
      <w:proofErr w:type="spellEnd"/>
      <w:r w:rsidRPr="00472954">
        <w:rPr>
          <w:rFonts w:eastAsia="Calibri"/>
          <w:i/>
          <w:iCs/>
          <w:sz w:val="22"/>
          <w:szCs w:val="22"/>
          <w:lang w:val="id-ID"/>
        </w:rPr>
        <w:t>).</w:t>
      </w:r>
      <w:r w:rsidRPr="00472954">
        <w:rPr>
          <w:rFonts w:eastAsia="Calibri"/>
          <w:sz w:val="22"/>
          <w:szCs w:val="22"/>
          <w:lang w:val="id-ID"/>
        </w:rPr>
        <w:t xml:space="preserve"> Samarinda: RV Pustaka Horizon.</w:t>
      </w:r>
    </w:p>
    <w:p w14:paraId="67776ACE" w14:textId="77777777" w:rsidR="00472954" w:rsidRPr="00472954" w:rsidRDefault="00472954" w:rsidP="00472954">
      <w:pPr>
        <w:ind w:left="426" w:hanging="426"/>
        <w:jc w:val="both"/>
        <w:rPr>
          <w:rFonts w:eastAsia="Calibri"/>
          <w:sz w:val="22"/>
          <w:szCs w:val="22"/>
        </w:rPr>
      </w:pPr>
      <w:r w:rsidRPr="00472954">
        <w:rPr>
          <w:rFonts w:eastAsia="Calibri"/>
          <w:sz w:val="22"/>
          <w:szCs w:val="22"/>
        </w:rPr>
        <w:lastRenderedPageBreak/>
        <w:t xml:space="preserve">Fuad, M., </w:t>
      </w:r>
      <w:proofErr w:type="spellStart"/>
      <w:r w:rsidRPr="00472954">
        <w:rPr>
          <w:rFonts w:eastAsia="Calibri"/>
          <w:sz w:val="22"/>
          <w:szCs w:val="22"/>
        </w:rPr>
        <w:t>wandari</w:t>
      </w:r>
      <w:proofErr w:type="spellEnd"/>
      <w:r w:rsidRPr="00472954">
        <w:rPr>
          <w:rFonts w:eastAsia="Calibri"/>
          <w:sz w:val="22"/>
          <w:szCs w:val="22"/>
        </w:rPr>
        <w:t xml:space="preserve">, A. (2018).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Struktur</w:t>
      </w:r>
      <w:proofErr w:type="spellEnd"/>
      <w:r w:rsidRPr="00472954">
        <w:rPr>
          <w:rFonts w:eastAsia="Calibri"/>
          <w:sz w:val="22"/>
          <w:szCs w:val="22"/>
        </w:rPr>
        <w:t xml:space="preserve"> Modal dan </w:t>
      </w:r>
      <w:proofErr w:type="spellStart"/>
      <w:r w:rsidRPr="00472954">
        <w:rPr>
          <w:rFonts w:eastAsia="Calibri"/>
          <w:sz w:val="22"/>
          <w:szCs w:val="22"/>
        </w:rPr>
        <w:t>Faktor</w:t>
      </w:r>
      <w:proofErr w:type="spellEnd"/>
      <w:r w:rsidRPr="00472954">
        <w:rPr>
          <w:rFonts w:eastAsia="Calibri"/>
          <w:sz w:val="22"/>
          <w:szCs w:val="22"/>
        </w:rPr>
        <w:t xml:space="preserve"> </w:t>
      </w:r>
      <w:proofErr w:type="spellStart"/>
      <w:r w:rsidRPr="00472954">
        <w:rPr>
          <w:rFonts w:eastAsia="Calibri"/>
          <w:sz w:val="22"/>
          <w:szCs w:val="22"/>
        </w:rPr>
        <w:t>Eksternal</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sz w:val="22"/>
          <w:szCs w:val="22"/>
        </w:rPr>
        <w:t>Studi</w:t>
      </w:r>
      <w:proofErr w:type="spellEnd"/>
      <w:r w:rsidRPr="00472954">
        <w:rPr>
          <w:rFonts w:eastAsia="Calibri"/>
          <w:sz w:val="22"/>
          <w:szCs w:val="22"/>
        </w:rPr>
        <w:t xml:space="preserve"> Pada PT. Bank Central Asia, </w:t>
      </w:r>
      <w:proofErr w:type="spellStart"/>
      <w:r w:rsidRPr="00472954">
        <w:rPr>
          <w:rFonts w:eastAsia="Calibri"/>
          <w:sz w:val="22"/>
          <w:szCs w:val="22"/>
        </w:rPr>
        <w:t>Tbk</w:t>
      </w:r>
      <w:proofErr w:type="spellEnd"/>
      <w:r w:rsidRPr="00472954">
        <w:rPr>
          <w:rFonts w:eastAsia="Calibri"/>
          <w:sz w:val="22"/>
          <w:szCs w:val="22"/>
        </w:rPr>
        <w:t xml:space="preserve">).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Manajemen</w:t>
      </w:r>
      <w:proofErr w:type="spellEnd"/>
      <w:r w:rsidRPr="00472954">
        <w:rPr>
          <w:rFonts w:eastAsia="Calibri"/>
          <w:i/>
          <w:iCs/>
          <w:sz w:val="22"/>
          <w:szCs w:val="22"/>
        </w:rPr>
        <w:t xml:space="preserve"> Dan </w:t>
      </w:r>
      <w:proofErr w:type="spellStart"/>
      <w:r w:rsidRPr="00472954">
        <w:rPr>
          <w:rFonts w:eastAsia="Calibri"/>
          <w:i/>
          <w:iCs/>
          <w:sz w:val="22"/>
          <w:szCs w:val="22"/>
        </w:rPr>
        <w:t>Keuangan</w:t>
      </w:r>
      <w:proofErr w:type="spellEnd"/>
      <w:r w:rsidRPr="00472954">
        <w:rPr>
          <w:rFonts w:eastAsia="Calibri"/>
          <w:sz w:val="22"/>
          <w:szCs w:val="22"/>
        </w:rPr>
        <w:t>. 7(1): 32-46.</w:t>
      </w:r>
    </w:p>
    <w:p w14:paraId="6B493FC5" w14:textId="77777777" w:rsidR="00472954" w:rsidRPr="00472954" w:rsidRDefault="00472954" w:rsidP="00472954">
      <w:pPr>
        <w:autoSpaceDE w:val="0"/>
        <w:autoSpaceDN w:val="0"/>
        <w:adjustRightInd w:val="0"/>
        <w:ind w:left="426" w:hanging="426"/>
        <w:jc w:val="both"/>
        <w:rPr>
          <w:rFonts w:eastAsia="Calibri"/>
          <w:sz w:val="22"/>
          <w:szCs w:val="22"/>
        </w:rPr>
      </w:pPr>
      <w:proofErr w:type="spellStart"/>
      <w:r w:rsidRPr="00472954">
        <w:rPr>
          <w:rFonts w:eastAsia="Calibri"/>
          <w:sz w:val="22"/>
          <w:szCs w:val="22"/>
        </w:rPr>
        <w:t>Gultom</w:t>
      </w:r>
      <w:proofErr w:type="spellEnd"/>
      <w:r w:rsidRPr="00472954">
        <w:rPr>
          <w:rFonts w:eastAsia="Calibri"/>
          <w:sz w:val="22"/>
          <w:szCs w:val="22"/>
        </w:rPr>
        <w:t xml:space="preserve">, R.A. (2013). </w:t>
      </w:r>
      <w:proofErr w:type="spellStart"/>
      <w:r w:rsidRPr="00472954">
        <w:rPr>
          <w:rFonts w:eastAsia="Calibri"/>
          <w:sz w:val="22"/>
          <w:szCs w:val="22"/>
        </w:rPr>
        <w:t>Analisis</w:t>
      </w:r>
      <w:proofErr w:type="spellEnd"/>
      <w:r w:rsidRPr="00472954">
        <w:rPr>
          <w:rFonts w:eastAsia="Calibri"/>
          <w:sz w:val="22"/>
          <w:szCs w:val="22"/>
        </w:rPr>
        <w:t xml:space="preserve"> </w:t>
      </w:r>
      <w:proofErr w:type="spellStart"/>
      <w:r w:rsidRPr="00472954">
        <w:rPr>
          <w:rFonts w:eastAsia="Calibri"/>
          <w:sz w:val="22"/>
          <w:szCs w:val="22"/>
        </w:rPr>
        <w:t>Faktor-Faktor</w:t>
      </w:r>
      <w:proofErr w:type="spellEnd"/>
      <w:r w:rsidRPr="00472954">
        <w:rPr>
          <w:rFonts w:eastAsia="Calibri"/>
          <w:sz w:val="22"/>
          <w:szCs w:val="22"/>
        </w:rPr>
        <w:t xml:space="preserve"> yang </w:t>
      </w:r>
      <w:proofErr w:type="spellStart"/>
      <w:r w:rsidRPr="00472954">
        <w:rPr>
          <w:rFonts w:eastAsia="Calibri"/>
          <w:sz w:val="22"/>
          <w:szCs w:val="22"/>
        </w:rPr>
        <w:t>Mempengaruhi</w:t>
      </w:r>
      <w:proofErr w:type="spellEnd"/>
      <w:r w:rsidRPr="00472954">
        <w:rPr>
          <w:rFonts w:eastAsia="Calibri"/>
          <w:sz w:val="22"/>
          <w:szCs w:val="22"/>
        </w:rPr>
        <w:t xml:space="preserve"> Nilai Perusahaan pada Perusahaan </w:t>
      </w:r>
      <w:proofErr w:type="spellStart"/>
      <w:r w:rsidRPr="00472954">
        <w:rPr>
          <w:rFonts w:eastAsia="Calibri"/>
          <w:sz w:val="22"/>
          <w:szCs w:val="22"/>
        </w:rPr>
        <w:t>Farmasi</w:t>
      </w:r>
      <w:proofErr w:type="spellEnd"/>
      <w:r w:rsidRPr="00472954">
        <w:rPr>
          <w:rFonts w:eastAsia="Calibri"/>
          <w:sz w:val="22"/>
          <w:szCs w:val="22"/>
        </w:rPr>
        <w:t xml:space="preserve"> Di Bursa </w:t>
      </w:r>
      <w:proofErr w:type="spellStart"/>
      <w:r w:rsidRPr="00472954">
        <w:rPr>
          <w:rFonts w:eastAsia="Calibri"/>
          <w:sz w:val="22"/>
          <w:szCs w:val="22"/>
        </w:rPr>
        <w:t>Efek</w:t>
      </w:r>
      <w:proofErr w:type="spellEnd"/>
      <w:r w:rsidRPr="00472954">
        <w:rPr>
          <w:rFonts w:eastAsia="Calibri"/>
          <w:sz w:val="22"/>
          <w:szCs w:val="22"/>
        </w:rPr>
        <w:t xml:space="preserve"> Indonesia.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Wira</w:t>
      </w:r>
      <w:proofErr w:type="spellEnd"/>
      <w:r w:rsidRPr="00472954">
        <w:rPr>
          <w:rFonts w:eastAsia="Calibri"/>
          <w:i/>
          <w:iCs/>
          <w:sz w:val="22"/>
          <w:szCs w:val="22"/>
        </w:rPr>
        <w:t xml:space="preserve"> Ekonomi </w:t>
      </w:r>
      <w:proofErr w:type="spellStart"/>
      <w:r w:rsidRPr="00472954">
        <w:rPr>
          <w:rFonts w:eastAsia="Calibri"/>
          <w:i/>
          <w:iCs/>
          <w:sz w:val="22"/>
          <w:szCs w:val="22"/>
        </w:rPr>
        <w:t>Mikroskil</w:t>
      </w:r>
      <w:proofErr w:type="spellEnd"/>
      <w:r w:rsidRPr="00472954">
        <w:rPr>
          <w:rFonts w:eastAsia="Calibri"/>
          <w:i/>
          <w:iCs/>
          <w:sz w:val="22"/>
          <w:szCs w:val="22"/>
        </w:rPr>
        <w:t xml:space="preserve">. </w:t>
      </w:r>
      <w:r w:rsidRPr="00472954">
        <w:rPr>
          <w:rFonts w:eastAsia="Calibri"/>
          <w:sz w:val="22"/>
          <w:szCs w:val="22"/>
        </w:rPr>
        <w:t>3(1): 51-60.</w:t>
      </w:r>
    </w:p>
    <w:p w14:paraId="742047B9"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Hamidah</w:t>
      </w:r>
      <w:proofErr w:type="spellEnd"/>
      <w:r w:rsidRPr="00472954">
        <w:rPr>
          <w:rFonts w:eastAsia="Calibri"/>
          <w:sz w:val="22"/>
          <w:szCs w:val="22"/>
        </w:rPr>
        <w:t xml:space="preserve">., H. (2015).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Inflasi</w:t>
      </w:r>
      <w:proofErr w:type="spellEnd"/>
      <w:r w:rsidRPr="00472954">
        <w:rPr>
          <w:rFonts w:eastAsia="Calibri"/>
          <w:sz w:val="22"/>
          <w:szCs w:val="22"/>
        </w:rPr>
        <w:t xml:space="preserve">, </w:t>
      </w:r>
      <w:proofErr w:type="spellStart"/>
      <w:r w:rsidRPr="00472954">
        <w:rPr>
          <w:rFonts w:eastAsia="Calibri"/>
          <w:sz w:val="22"/>
          <w:szCs w:val="22"/>
        </w:rPr>
        <w:t>Suku</w:t>
      </w:r>
      <w:proofErr w:type="spellEnd"/>
      <w:r w:rsidRPr="00472954">
        <w:rPr>
          <w:rFonts w:eastAsia="Calibri"/>
          <w:sz w:val="22"/>
          <w:szCs w:val="22"/>
        </w:rPr>
        <w:t xml:space="preserve"> Bunga BI, </w:t>
      </w:r>
      <w:proofErr w:type="spellStart"/>
      <w:r w:rsidRPr="00472954">
        <w:rPr>
          <w:rFonts w:eastAsia="Calibri"/>
          <w:sz w:val="22"/>
          <w:szCs w:val="22"/>
        </w:rPr>
        <w:t>Profitabilitas</w:t>
      </w:r>
      <w:proofErr w:type="spellEnd"/>
      <w:r w:rsidRPr="00472954">
        <w:rPr>
          <w:rFonts w:eastAsia="Calibri"/>
          <w:sz w:val="22"/>
          <w:szCs w:val="22"/>
        </w:rPr>
        <w:t xml:space="preserve"> Dan </w:t>
      </w:r>
      <w:proofErr w:type="spellStart"/>
      <w:r w:rsidRPr="00472954">
        <w:rPr>
          <w:rFonts w:eastAsia="Calibri"/>
          <w:sz w:val="22"/>
          <w:szCs w:val="22"/>
        </w:rPr>
        <w:t>Resiko</w:t>
      </w:r>
      <w:proofErr w:type="spellEnd"/>
      <w:r w:rsidRPr="00472954">
        <w:rPr>
          <w:rFonts w:eastAsia="Calibri"/>
          <w:sz w:val="22"/>
          <w:szCs w:val="22"/>
        </w:rPr>
        <w:t xml:space="preserve"> </w:t>
      </w:r>
      <w:proofErr w:type="spellStart"/>
      <w:r w:rsidRPr="00472954">
        <w:rPr>
          <w:rFonts w:eastAsia="Calibri"/>
          <w:sz w:val="22"/>
          <w:szCs w:val="22"/>
        </w:rPr>
        <w:t>Finansial</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sz w:val="22"/>
          <w:szCs w:val="22"/>
        </w:rPr>
        <w:t>Sektor</w:t>
      </w:r>
      <w:proofErr w:type="spellEnd"/>
      <w:r w:rsidRPr="00472954">
        <w:rPr>
          <w:rFonts w:eastAsia="Calibri"/>
          <w:sz w:val="22"/>
          <w:szCs w:val="22"/>
        </w:rPr>
        <w:t xml:space="preserve"> </w:t>
      </w:r>
      <w:proofErr w:type="spellStart"/>
      <w:r w:rsidRPr="00472954">
        <w:rPr>
          <w:rFonts w:eastAsia="Calibri"/>
          <w:sz w:val="22"/>
          <w:szCs w:val="22"/>
        </w:rPr>
        <w:t>Properti</w:t>
      </w:r>
      <w:proofErr w:type="spellEnd"/>
      <w:r w:rsidRPr="00472954">
        <w:rPr>
          <w:rFonts w:eastAsia="Calibri"/>
          <w:sz w:val="22"/>
          <w:szCs w:val="22"/>
        </w:rPr>
        <w:t xml:space="preserve"> </w:t>
      </w:r>
      <w:proofErr w:type="spellStart"/>
      <w:r w:rsidRPr="00472954">
        <w:rPr>
          <w:rFonts w:eastAsia="Calibri"/>
          <w:sz w:val="22"/>
          <w:szCs w:val="22"/>
        </w:rPr>
        <w:t>Tahun</w:t>
      </w:r>
      <w:proofErr w:type="spellEnd"/>
      <w:r w:rsidRPr="00472954">
        <w:rPr>
          <w:rFonts w:eastAsia="Calibri"/>
          <w:sz w:val="22"/>
          <w:szCs w:val="22"/>
        </w:rPr>
        <w:t xml:space="preserve"> 2011-2013.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Riset</w:t>
      </w:r>
      <w:proofErr w:type="spellEnd"/>
      <w:r w:rsidRPr="00472954">
        <w:rPr>
          <w:rFonts w:eastAsia="Calibri"/>
          <w:i/>
          <w:iCs/>
          <w:sz w:val="22"/>
          <w:szCs w:val="22"/>
        </w:rPr>
        <w:t xml:space="preserve"> </w:t>
      </w:r>
      <w:proofErr w:type="spellStart"/>
      <w:r w:rsidRPr="00472954">
        <w:rPr>
          <w:rFonts w:eastAsia="Calibri"/>
          <w:i/>
          <w:iCs/>
          <w:sz w:val="22"/>
          <w:szCs w:val="22"/>
        </w:rPr>
        <w:t>Manajemen</w:t>
      </w:r>
      <w:proofErr w:type="spellEnd"/>
      <w:r w:rsidRPr="00472954">
        <w:rPr>
          <w:rFonts w:eastAsia="Calibri"/>
          <w:i/>
          <w:iCs/>
          <w:sz w:val="22"/>
          <w:szCs w:val="22"/>
        </w:rPr>
        <w:t xml:space="preserve"> </w:t>
      </w:r>
      <w:proofErr w:type="spellStart"/>
      <w:r w:rsidRPr="00472954">
        <w:rPr>
          <w:rFonts w:eastAsia="Calibri"/>
          <w:i/>
          <w:iCs/>
          <w:sz w:val="22"/>
          <w:szCs w:val="22"/>
        </w:rPr>
        <w:t>Sains</w:t>
      </w:r>
      <w:proofErr w:type="spellEnd"/>
      <w:r w:rsidRPr="00472954">
        <w:rPr>
          <w:rFonts w:eastAsia="Calibri"/>
          <w:i/>
          <w:iCs/>
          <w:sz w:val="22"/>
          <w:szCs w:val="22"/>
        </w:rPr>
        <w:t xml:space="preserve"> Indonesia</w:t>
      </w:r>
      <w:r w:rsidRPr="00472954">
        <w:rPr>
          <w:rFonts w:eastAsia="Calibri"/>
          <w:sz w:val="22"/>
          <w:szCs w:val="22"/>
        </w:rPr>
        <w:t>. 6(1): 395-416.</w:t>
      </w:r>
    </w:p>
    <w:p w14:paraId="156C786C"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Handriani</w:t>
      </w:r>
      <w:proofErr w:type="spellEnd"/>
      <w:r w:rsidRPr="00472954">
        <w:rPr>
          <w:rFonts w:eastAsia="Calibri"/>
          <w:sz w:val="22"/>
          <w:szCs w:val="22"/>
        </w:rPr>
        <w:t xml:space="preserve">, E., </w:t>
      </w:r>
      <w:proofErr w:type="spellStart"/>
      <w:r w:rsidRPr="00472954">
        <w:rPr>
          <w:rFonts w:eastAsia="Calibri"/>
          <w:sz w:val="22"/>
          <w:szCs w:val="22"/>
        </w:rPr>
        <w:t>Irianti</w:t>
      </w:r>
      <w:proofErr w:type="spellEnd"/>
      <w:r w:rsidRPr="00472954">
        <w:rPr>
          <w:rFonts w:eastAsia="Calibri"/>
          <w:sz w:val="22"/>
          <w:szCs w:val="22"/>
        </w:rPr>
        <w:t>, T.E. (2015). Investment Opportunity Set</w:t>
      </w:r>
      <w:r w:rsidRPr="00472954">
        <w:rPr>
          <w:rFonts w:eastAsia="Calibri"/>
          <w:sz w:val="22"/>
          <w:szCs w:val="22"/>
          <w:lang w:val="id-ID"/>
        </w:rPr>
        <w:t>,</w:t>
      </w:r>
      <w:r w:rsidRPr="00472954">
        <w:rPr>
          <w:rFonts w:eastAsia="Calibri"/>
          <w:sz w:val="22"/>
          <w:szCs w:val="22"/>
        </w:rPr>
        <w:t xml:space="preserve"> </w:t>
      </w:r>
      <w:proofErr w:type="spellStart"/>
      <w:r w:rsidRPr="00472954">
        <w:rPr>
          <w:rFonts w:eastAsia="Calibri"/>
          <w:sz w:val="22"/>
          <w:szCs w:val="22"/>
        </w:rPr>
        <w:t>Berbasis</w:t>
      </w:r>
      <w:proofErr w:type="spellEnd"/>
      <w:r w:rsidRPr="00472954">
        <w:rPr>
          <w:rFonts w:eastAsia="Calibri"/>
          <w:sz w:val="22"/>
          <w:szCs w:val="22"/>
        </w:rPr>
        <w:t xml:space="preserve"> </w:t>
      </w:r>
      <w:proofErr w:type="spellStart"/>
      <w:r w:rsidRPr="00472954">
        <w:rPr>
          <w:rFonts w:eastAsia="Calibri"/>
          <w:sz w:val="22"/>
          <w:szCs w:val="22"/>
        </w:rPr>
        <w:t>Pertumbuhan</w:t>
      </w:r>
      <w:proofErr w:type="spellEnd"/>
      <w:r w:rsidRPr="00472954">
        <w:rPr>
          <w:rFonts w:eastAsia="Calibri"/>
          <w:sz w:val="22"/>
          <w:szCs w:val="22"/>
        </w:rPr>
        <w:t xml:space="preserve"> Perusahaan Dan </w:t>
      </w:r>
      <w:proofErr w:type="spellStart"/>
      <w:r w:rsidRPr="00472954">
        <w:rPr>
          <w:rFonts w:eastAsia="Calibri"/>
          <w:sz w:val="22"/>
          <w:szCs w:val="22"/>
        </w:rPr>
        <w:t>Kaitannya</w:t>
      </w:r>
      <w:proofErr w:type="spellEnd"/>
      <w:r w:rsidRPr="00472954">
        <w:rPr>
          <w:rFonts w:eastAsia="Calibri"/>
          <w:sz w:val="22"/>
          <w:szCs w:val="22"/>
        </w:rPr>
        <w:t xml:space="preserve"> </w:t>
      </w:r>
      <w:proofErr w:type="spellStart"/>
      <w:r w:rsidRPr="00472954">
        <w:rPr>
          <w:rFonts w:eastAsia="Calibri"/>
          <w:sz w:val="22"/>
          <w:szCs w:val="22"/>
        </w:rPr>
        <w:t>Dengan</w:t>
      </w:r>
      <w:proofErr w:type="spellEnd"/>
      <w:r w:rsidRPr="00472954">
        <w:rPr>
          <w:rFonts w:eastAsia="Calibri"/>
          <w:sz w:val="22"/>
          <w:szCs w:val="22"/>
        </w:rPr>
        <w:t xml:space="preserve"> </w:t>
      </w:r>
      <w:proofErr w:type="spellStart"/>
      <w:r w:rsidRPr="00472954">
        <w:rPr>
          <w:rFonts w:eastAsia="Calibri"/>
          <w:sz w:val="22"/>
          <w:szCs w:val="22"/>
        </w:rPr>
        <w:t>Upaya</w:t>
      </w:r>
      <w:proofErr w:type="spellEnd"/>
      <w:r w:rsidRPr="00472954">
        <w:rPr>
          <w:rFonts w:eastAsia="Calibri"/>
          <w:sz w:val="22"/>
          <w:szCs w:val="22"/>
        </w:rPr>
        <w:t xml:space="preserve"> </w:t>
      </w:r>
      <w:proofErr w:type="spellStart"/>
      <w:r w:rsidRPr="00472954">
        <w:rPr>
          <w:rFonts w:eastAsia="Calibri"/>
          <w:sz w:val="22"/>
          <w:szCs w:val="22"/>
        </w:rPr>
        <w:t>Peningkatan</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Ekonomi Dan Bisnis.</w:t>
      </w:r>
      <w:r w:rsidRPr="00472954">
        <w:rPr>
          <w:rFonts w:eastAsia="Calibri"/>
          <w:sz w:val="22"/>
          <w:szCs w:val="22"/>
        </w:rPr>
        <w:t>18(1): 83-99.</w:t>
      </w:r>
    </w:p>
    <w:p w14:paraId="7D549694"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lang w:val="id-ID"/>
        </w:rPr>
        <w:t xml:space="preserve">Hutabarat, F. (2020). </w:t>
      </w:r>
      <w:r w:rsidRPr="00472954">
        <w:rPr>
          <w:rFonts w:eastAsia="Calibri"/>
          <w:i/>
          <w:iCs/>
          <w:sz w:val="22"/>
          <w:szCs w:val="22"/>
          <w:lang w:val="id-ID"/>
        </w:rPr>
        <w:t xml:space="preserve">Analisis Kinerja Keuangan Perusahaan. </w:t>
      </w:r>
      <w:r w:rsidRPr="00472954">
        <w:rPr>
          <w:rFonts w:eastAsia="Calibri"/>
          <w:sz w:val="22"/>
          <w:szCs w:val="22"/>
          <w:lang w:val="id-ID"/>
        </w:rPr>
        <w:t xml:space="preserve">Banten: </w:t>
      </w:r>
      <w:proofErr w:type="spellStart"/>
      <w:r w:rsidRPr="00472954">
        <w:rPr>
          <w:rFonts w:eastAsia="Calibri"/>
          <w:sz w:val="22"/>
          <w:szCs w:val="22"/>
          <w:lang w:val="id-ID"/>
        </w:rPr>
        <w:t>Desanta</w:t>
      </w:r>
      <w:proofErr w:type="spellEnd"/>
      <w:r w:rsidRPr="00472954">
        <w:rPr>
          <w:rFonts w:eastAsia="Calibri"/>
          <w:sz w:val="22"/>
          <w:szCs w:val="22"/>
          <w:lang w:val="id-ID"/>
        </w:rPr>
        <w:t xml:space="preserve"> </w:t>
      </w:r>
      <w:proofErr w:type="spellStart"/>
      <w:r w:rsidRPr="00472954">
        <w:rPr>
          <w:rFonts w:eastAsia="Calibri"/>
          <w:sz w:val="22"/>
          <w:szCs w:val="22"/>
          <w:lang w:val="id-ID"/>
        </w:rPr>
        <w:t>muliavisitama</w:t>
      </w:r>
      <w:proofErr w:type="spellEnd"/>
      <w:r w:rsidRPr="00472954">
        <w:rPr>
          <w:rFonts w:eastAsia="Calibri"/>
          <w:sz w:val="22"/>
          <w:szCs w:val="22"/>
          <w:lang w:val="id-ID"/>
        </w:rPr>
        <w:t>.</w:t>
      </w:r>
    </w:p>
    <w:p w14:paraId="3121B9AE" w14:textId="77777777" w:rsidR="00472954" w:rsidRPr="00472954" w:rsidRDefault="00472954" w:rsidP="00472954">
      <w:pPr>
        <w:ind w:left="426" w:hanging="426"/>
        <w:jc w:val="both"/>
        <w:rPr>
          <w:rFonts w:eastAsia="Calibri"/>
          <w:sz w:val="22"/>
          <w:szCs w:val="22"/>
          <w:lang w:val="id-ID"/>
        </w:rPr>
      </w:pPr>
      <w:proofErr w:type="spellStart"/>
      <w:r w:rsidRPr="00472954">
        <w:rPr>
          <w:rFonts w:eastAsia="Calibri"/>
          <w:sz w:val="22"/>
          <w:szCs w:val="22"/>
          <w:lang w:val="id-ID"/>
        </w:rPr>
        <w:t>Indrarini</w:t>
      </w:r>
      <w:proofErr w:type="spellEnd"/>
      <w:r w:rsidRPr="00472954">
        <w:rPr>
          <w:rFonts w:eastAsia="Calibri"/>
          <w:sz w:val="22"/>
          <w:szCs w:val="22"/>
          <w:lang w:val="id-ID"/>
        </w:rPr>
        <w:t xml:space="preserve">, S. (2019).  </w:t>
      </w:r>
      <w:r w:rsidRPr="00472954">
        <w:rPr>
          <w:rFonts w:eastAsia="Calibri"/>
          <w:i/>
          <w:iCs/>
          <w:sz w:val="22"/>
          <w:szCs w:val="22"/>
          <w:lang w:val="id-ID"/>
        </w:rPr>
        <w:t>Nilai Perusahaan Melalui Kualitas Laba (</w:t>
      </w:r>
      <w:proofErr w:type="spellStart"/>
      <w:r w:rsidRPr="00472954">
        <w:rPr>
          <w:rFonts w:eastAsia="Calibri"/>
          <w:i/>
          <w:iCs/>
          <w:sz w:val="22"/>
          <w:szCs w:val="22"/>
          <w:lang w:val="id-ID"/>
        </w:rPr>
        <w:t>Good</w:t>
      </w:r>
      <w:proofErr w:type="spellEnd"/>
      <w:r w:rsidRPr="00472954">
        <w:rPr>
          <w:rFonts w:eastAsia="Calibri"/>
          <w:i/>
          <w:iCs/>
          <w:sz w:val="22"/>
          <w:szCs w:val="22"/>
          <w:lang w:val="id-ID"/>
        </w:rPr>
        <w:t xml:space="preserve"> </w:t>
      </w:r>
      <w:proofErr w:type="spellStart"/>
      <w:r w:rsidRPr="00472954">
        <w:rPr>
          <w:rFonts w:eastAsia="Calibri"/>
          <w:i/>
          <w:iCs/>
          <w:sz w:val="22"/>
          <w:szCs w:val="22"/>
          <w:lang w:val="id-ID"/>
        </w:rPr>
        <w:t>Corporate</w:t>
      </w:r>
      <w:proofErr w:type="spellEnd"/>
      <w:r w:rsidRPr="00472954">
        <w:rPr>
          <w:rFonts w:eastAsia="Calibri"/>
          <w:i/>
          <w:iCs/>
          <w:sz w:val="22"/>
          <w:szCs w:val="22"/>
          <w:lang w:val="id-ID"/>
        </w:rPr>
        <w:t xml:space="preserve"> &amp; Kebijakan </w:t>
      </w:r>
      <w:proofErr w:type="spellStart"/>
      <w:r w:rsidRPr="00472954">
        <w:rPr>
          <w:rFonts w:eastAsia="Calibri"/>
          <w:i/>
          <w:iCs/>
          <w:sz w:val="22"/>
          <w:szCs w:val="22"/>
          <w:lang w:val="id-ID"/>
        </w:rPr>
        <w:t>Perushaan</w:t>
      </w:r>
      <w:proofErr w:type="spellEnd"/>
      <w:r w:rsidRPr="00472954">
        <w:rPr>
          <w:rFonts w:eastAsia="Calibri"/>
          <w:i/>
          <w:iCs/>
          <w:sz w:val="22"/>
          <w:szCs w:val="22"/>
          <w:lang w:val="id-ID"/>
        </w:rPr>
        <w:t>).</w:t>
      </w:r>
      <w:r w:rsidRPr="00472954">
        <w:rPr>
          <w:rFonts w:eastAsia="Calibri"/>
          <w:sz w:val="22"/>
          <w:szCs w:val="22"/>
          <w:lang w:val="id-ID"/>
        </w:rPr>
        <w:t xml:space="preserve"> Surabaya: </w:t>
      </w:r>
      <w:proofErr w:type="spellStart"/>
      <w:r w:rsidRPr="00472954">
        <w:rPr>
          <w:rFonts w:eastAsia="Calibri"/>
          <w:sz w:val="22"/>
          <w:szCs w:val="22"/>
          <w:lang w:val="id-ID"/>
        </w:rPr>
        <w:t>Scopindo</w:t>
      </w:r>
      <w:proofErr w:type="spellEnd"/>
      <w:r w:rsidRPr="00472954">
        <w:rPr>
          <w:rFonts w:eastAsia="Calibri"/>
          <w:sz w:val="22"/>
          <w:szCs w:val="22"/>
          <w:lang w:val="id-ID"/>
        </w:rPr>
        <w:t xml:space="preserve"> Media Pustaka.</w:t>
      </w:r>
    </w:p>
    <w:p w14:paraId="75DD233F"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Kewal</w:t>
      </w:r>
      <w:proofErr w:type="spellEnd"/>
      <w:r w:rsidRPr="00472954">
        <w:rPr>
          <w:rFonts w:eastAsia="Calibri"/>
          <w:sz w:val="22"/>
          <w:szCs w:val="22"/>
        </w:rPr>
        <w:t xml:space="preserve">, S.S. (2012).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Inflasi</w:t>
      </w:r>
      <w:proofErr w:type="spellEnd"/>
      <w:r w:rsidRPr="00472954">
        <w:rPr>
          <w:rFonts w:eastAsia="Calibri"/>
          <w:sz w:val="22"/>
          <w:szCs w:val="22"/>
        </w:rPr>
        <w:t xml:space="preserve">, </w:t>
      </w:r>
      <w:proofErr w:type="spellStart"/>
      <w:r w:rsidRPr="00472954">
        <w:rPr>
          <w:rFonts w:eastAsia="Calibri"/>
          <w:sz w:val="22"/>
          <w:szCs w:val="22"/>
        </w:rPr>
        <w:t>Suku</w:t>
      </w:r>
      <w:proofErr w:type="spellEnd"/>
      <w:r w:rsidRPr="00472954">
        <w:rPr>
          <w:rFonts w:eastAsia="Calibri"/>
          <w:sz w:val="22"/>
          <w:szCs w:val="22"/>
        </w:rPr>
        <w:t xml:space="preserve"> Bunga, </w:t>
      </w:r>
      <w:proofErr w:type="spellStart"/>
      <w:r w:rsidRPr="00472954">
        <w:rPr>
          <w:rFonts w:eastAsia="Calibri"/>
          <w:sz w:val="22"/>
          <w:szCs w:val="22"/>
        </w:rPr>
        <w:t>Kurs</w:t>
      </w:r>
      <w:proofErr w:type="spellEnd"/>
      <w:r w:rsidRPr="00472954">
        <w:rPr>
          <w:rFonts w:eastAsia="Calibri"/>
          <w:sz w:val="22"/>
          <w:szCs w:val="22"/>
        </w:rPr>
        <w:t xml:space="preserve"> Dan </w:t>
      </w:r>
      <w:proofErr w:type="spellStart"/>
      <w:r w:rsidRPr="00472954">
        <w:rPr>
          <w:rFonts w:eastAsia="Calibri"/>
          <w:sz w:val="22"/>
          <w:szCs w:val="22"/>
        </w:rPr>
        <w:t>Pertumbuhan</w:t>
      </w:r>
      <w:proofErr w:type="spellEnd"/>
      <w:r w:rsidRPr="00472954">
        <w:rPr>
          <w:rFonts w:eastAsia="Calibri"/>
          <w:sz w:val="22"/>
          <w:szCs w:val="22"/>
        </w:rPr>
        <w:t xml:space="preserve"> </w:t>
      </w:r>
      <w:proofErr w:type="spellStart"/>
      <w:r w:rsidRPr="00472954">
        <w:rPr>
          <w:rFonts w:eastAsia="Calibri"/>
          <w:sz w:val="22"/>
          <w:szCs w:val="22"/>
        </w:rPr>
        <w:t>Pdb</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w:t>
      </w:r>
      <w:proofErr w:type="spellStart"/>
      <w:r w:rsidRPr="00472954">
        <w:rPr>
          <w:rFonts w:eastAsia="Calibri"/>
          <w:sz w:val="22"/>
          <w:szCs w:val="22"/>
        </w:rPr>
        <w:t>Indeks</w:t>
      </w:r>
      <w:proofErr w:type="spellEnd"/>
      <w:r w:rsidRPr="00472954">
        <w:rPr>
          <w:rFonts w:eastAsia="Calibri"/>
          <w:sz w:val="22"/>
          <w:szCs w:val="22"/>
        </w:rPr>
        <w:t xml:space="preserve"> Harga Saham </w:t>
      </w:r>
      <w:proofErr w:type="spellStart"/>
      <w:r w:rsidRPr="00472954">
        <w:rPr>
          <w:rFonts w:eastAsia="Calibri"/>
          <w:sz w:val="22"/>
          <w:szCs w:val="22"/>
        </w:rPr>
        <w:t>Gabungan</w:t>
      </w:r>
      <w:proofErr w:type="spellEnd"/>
      <w:r w:rsidRPr="00472954">
        <w:rPr>
          <w:rFonts w:eastAsia="Calibri"/>
          <w:sz w:val="22"/>
          <w:szCs w:val="22"/>
        </w:rPr>
        <w:t xml:space="preserve">.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economia</w:t>
      </w:r>
      <w:proofErr w:type="spellEnd"/>
      <w:r w:rsidRPr="00472954">
        <w:rPr>
          <w:rFonts w:eastAsia="Calibri"/>
          <w:i/>
          <w:iCs/>
          <w:sz w:val="22"/>
          <w:szCs w:val="22"/>
        </w:rPr>
        <w:t xml:space="preserve">. </w:t>
      </w:r>
      <w:r w:rsidRPr="00472954">
        <w:rPr>
          <w:rFonts w:eastAsia="Calibri"/>
          <w:sz w:val="22"/>
          <w:szCs w:val="22"/>
        </w:rPr>
        <w:t>8(1): 53-64</w:t>
      </w:r>
    </w:p>
    <w:p w14:paraId="3F9E1C53" w14:textId="77777777" w:rsidR="00472954" w:rsidRPr="00472954" w:rsidRDefault="00472954" w:rsidP="00472954">
      <w:pPr>
        <w:ind w:left="426" w:hanging="426"/>
        <w:jc w:val="both"/>
        <w:rPr>
          <w:sz w:val="22"/>
          <w:szCs w:val="22"/>
          <w:lang w:val="id-ID"/>
        </w:rPr>
      </w:pPr>
      <w:r w:rsidRPr="00472954">
        <w:rPr>
          <w:sz w:val="22"/>
          <w:szCs w:val="22"/>
        </w:rPr>
        <w:t xml:space="preserve">Mankiw, N.G. </w:t>
      </w:r>
      <w:r w:rsidRPr="00472954">
        <w:rPr>
          <w:sz w:val="22"/>
          <w:szCs w:val="22"/>
          <w:lang w:val="id-ID"/>
        </w:rPr>
        <w:t>(</w:t>
      </w:r>
      <w:r w:rsidRPr="00472954">
        <w:rPr>
          <w:sz w:val="22"/>
          <w:szCs w:val="22"/>
        </w:rPr>
        <w:t>2007</w:t>
      </w:r>
      <w:r w:rsidRPr="00472954">
        <w:rPr>
          <w:sz w:val="22"/>
          <w:szCs w:val="22"/>
          <w:lang w:val="id-ID"/>
        </w:rPr>
        <w:t>)</w:t>
      </w:r>
      <w:r w:rsidRPr="00472954">
        <w:rPr>
          <w:sz w:val="22"/>
          <w:szCs w:val="22"/>
        </w:rPr>
        <w:t xml:space="preserve">. </w:t>
      </w:r>
      <w:proofErr w:type="spellStart"/>
      <w:r w:rsidRPr="00472954">
        <w:rPr>
          <w:i/>
          <w:iCs/>
          <w:sz w:val="22"/>
          <w:szCs w:val="22"/>
        </w:rPr>
        <w:t>Makroekonomi</w:t>
      </w:r>
      <w:proofErr w:type="spellEnd"/>
      <w:r w:rsidRPr="00472954">
        <w:rPr>
          <w:sz w:val="22"/>
          <w:szCs w:val="22"/>
        </w:rPr>
        <w:t>,</w:t>
      </w:r>
      <w:r w:rsidRPr="00472954">
        <w:rPr>
          <w:sz w:val="22"/>
          <w:szCs w:val="22"/>
          <w:lang w:val="id-ID"/>
        </w:rPr>
        <w:t xml:space="preserve"> (Jilid </w:t>
      </w:r>
      <w:proofErr w:type="spellStart"/>
      <w:r w:rsidRPr="00472954">
        <w:rPr>
          <w:sz w:val="22"/>
          <w:szCs w:val="22"/>
        </w:rPr>
        <w:t>enam</w:t>
      </w:r>
      <w:proofErr w:type="spellEnd"/>
      <w:r w:rsidRPr="00472954">
        <w:rPr>
          <w:sz w:val="22"/>
          <w:szCs w:val="22"/>
          <w:lang w:val="id-ID"/>
        </w:rPr>
        <w:t>)</w:t>
      </w:r>
      <w:r w:rsidRPr="00472954">
        <w:rPr>
          <w:sz w:val="22"/>
          <w:szCs w:val="22"/>
        </w:rPr>
        <w:t xml:space="preserve">. </w:t>
      </w:r>
      <w:proofErr w:type="gramStart"/>
      <w:r w:rsidRPr="00472954">
        <w:rPr>
          <w:sz w:val="22"/>
          <w:szCs w:val="22"/>
        </w:rPr>
        <w:t>Jakarta :</w:t>
      </w:r>
      <w:proofErr w:type="gramEnd"/>
      <w:r w:rsidRPr="00472954">
        <w:rPr>
          <w:sz w:val="22"/>
          <w:szCs w:val="22"/>
        </w:rPr>
        <w:t xml:space="preserve"> </w:t>
      </w:r>
      <w:proofErr w:type="spellStart"/>
      <w:r w:rsidRPr="00472954">
        <w:rPr>
          <w:sz w:val="22"/>
          <w:szCs w:val="22"/>
        </w:rPr>
        <w:t>Erlangga</w:t>
      </w:r>
      <w:proofErr w:type="spellEnd"/>
    </w:p>
    <w:p w14:paraId="2FB1807C"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lang w:val="id-ID"/>
        </w:rPr>
        <w:t xml:space="preserve">Mardiyanto, H. (2008). </w:t>
      </w:r>
      <w:r w:rsidRPr="00472954">
        <w:rPr>
          <w:rFonts w:eastAsia="Calibri"/>
          <w:i/>
          <w:iCs/>
          <w:sz w:val="22"/>
          <w:szCs w:val="22"/>
          <w:lang w:val="id-ID"/>
        </w:rPr>
        <w:t xml:space="preserve">Inti Sari Manajemen Keuangan. </w:t>
      </w:r>
      <w:r w:rsidRPr="00472954">
        <w:rPr>
          <w:rFonts w:eastAsia="Calibri"/>
          <w:sz w:val="22"/>
          <w:szCs w:val="22"/>
          <w:lang w:val="id-ID"/>
        </w:rPr>
        <w:t>Jakarta</w:t>
      </w:r>
      <w:r w:rsidRPr="00472954">
        <w:rPr>
          <w:rFonts w:eastAsia="Calibri"/>
          <w:i/>
          <w:iCs/>
          <w:sz w:val="22"/>
          <w:szCs w:val="22"/>
          <w:lang w:val="id-ID"/>
        </w:rPr>
        <w:t xml:space="preserve">: </w:t>
      </w:r>
      <w:r w:rsidRPr="00472954">
        <w:rPr>
          <w:rFonts w:eastAsia="Calibri"/>
          <w:sz w:val="22"/>
          <w:szCs w:val="22"/>
          <w:lang w:val="id-ID"/>
        </w:rPr>
        <w:t xml:space="preserve">Gramedia </w:t>
      </w:r>
      <w:proofErr w:type="spellStart"/>
      <w:r w:rsidRPr="00472954">
        <w:rPr>
          <w:rFonts w:eastAsia="Calibri"/>
          <w:sz w:val="22"/>
          <w:szCs w:val="22"/>
          <w:lang w:val="id-ID"/>
        </w:rPr>
        <w:t>Widiasarana</w:t>
      </w:r>
      <w:proofErr w:type="spellEnd"/>
      <w:r w:rsidRPr="00472954">
        <w:rPr>
          <w:rFonts w:eastAsia="Calibri"/>
          <w:sz w:val="22"/>
          <w:szCs w:val="22"/>
          <w:lang w:val="id-ID"/>
        </w:rPr>
        <w:t xml:space="preserve"> Indonesia.</w:t>
      </w:r>
    </w:p>
    <w:p w14:paraId="479AD0D7" w14:textId="77777777" w:rsidR="00472954" w:rsidRPr="00472954" w:rsidRDefault="00472954" w:rsidP="00472954">
      <w:pPr>
        <w:ind w:left="426" w:hanging="426"/>
        <w:jc w:val="both"/>
        <w:rPr>
          <w:rFonts w:eastAsia="Calibri"/>
          <w:sz w:val="22"/>
          <w:szCs w:val="22"/>
        </w:rPr>
      </w:pPr>
      <w:r w:rsidRPr="00472954">
        <w:rPr>
          <w:rFonts w:eastAsia="Calibri"/>
          <w:sz w:val="22"/>
          <w:szCs w:val="22"/>
        </w:rPr>
        <w:t xml:space="preserve">Muhammad, R. (2018). </w:t>
      </w:r>
      <w:proofErr w:type="spellStart"/>
      <w:r w:rsidRPr="00472954">
        <w:rPr>
          <w:rFonts w:eastAsia="Calibri"/>
          <w:sz w:val="22"/>
          <w:szCs w:val="22"/>
        </w:rPr>
        <w:t>Pengaruh</w:t>
      </w:r>
      <w:proofErr w:type="spellEnd"/>
      <w:r w:rsidRPr="00472954">
        <w:rPr>
          <w:rFonts w:eastAsia="Calibri"/>
          <w:sz w:val="22"/>
          <w:szCs w:val="22"/>
        </w:rPr>
        <w:t xml:space="preserve"> Intellectual Capital Disclosure, Kinerja </w:t>
      </w:r>
      <w:proofErr w:type="spellStart"/>
      <w:r w:rsidRPr="00472954">
        <w:rPr>
          <w:rFonts w:eastAsia="Calibri"/>
          <w:sz w:val="22"/>
          <w:szCs w:val="22"/>
        </w:rPr>
        <w:t>Keuangan</w:t>
      </w:r>
      <w:proofErr w:type="spellEnd"/>
      <w:r w:rsidRPr="00472954">
        <w:rPr>
          <w:rFonts w:eastAsia="Calibri"/>
          <w:sz w:val="22"/>
          <w:szCs w:val="22"/>
        </w:rPr>
        <w:t xml:space="preserve"> Dan </w:t>
      </w:r>
      <w:proofErr w:type="spellStart"/>
      <w:r w:rsidRPr="00472954">
        <w:rPr>
          <w:rFonts w:eastAsia="Calibri"/>
          <w:sz w:val="22"/>
          <w:szCs w:val="22"/>
        </w:rPr>
        <w:t>Kepemilikan</w:t>
      </w:r>
      <w:proofErr w:type="spellEnd"/>
      <w:r w:rsidRPr="00472954">
        <w:rPr>
          <w:rFonts w:eastAsia="Calibri"/>
          <w:sz w:val="22"/>
          <w:szCs w:val="22"/>
        </w:rPr>
        <w:t xml:space="preserve"> </w:t>
      </w:r>
      <w:proofErr w:type="spellStart"/>
      <w:r w:rsidRPr="00472954">
        <w:rPr>
          <w:rFonts w:eastAsia="Calibri"/>
          <w:sz w:val="22"/>
          <w:szCs w:val="22"/>
        </w:rPr>
        <w:t>Manajerial</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Pundi</w:t>
      </w:r>
      <w:proofErr w:type="spellEnd"/>
      <w:r w:rsidRPr="00472954">
        <w:rPr>
          <w:rFonts w:eastAsia="Calibri"/>
          <w:sz w:val="22"/>
          <w:szCs w:val="22"/>
        </w:rPr>
        <w:t>. 2(1): 41-54.</w:t>
      </w:r>
    </w:p>
    <w:p w14:paraId="194AA000" w14:textId="77777777" w:rsidR="00472954" w:rsidRPr="00472954" w:rsidRDefault="00472954" w:rsidP="00472954">
      <w:pPr>
        <w:ind w:left="426" w:hanging="426"/>
        <w:jc w:val="both"/>
        <w:rPr>
          <w:rFonts w:eastAsia="Calibri"/>
          <w:i/>
          <w:iCs/>
          <w:sz w:val="22"/>
          <w:szCs w:val="22"/>
        </w:rPr>
      </w:pPr>
      <w:proofErr w:type="spellStart"/>
      <w:r w:rsidRPr="00472954">
        <w:rPr>
          <w:rFonts w:eastAsia="Calibri"/>
          <w:sz w:val="22"/>
          <w:szCs w:val="22"/>
        </w:rPr>
        <w:t>Muhibah</w:t>
      </w:r>
      <w:proofErr w:type="spellEnd"/>
      <w:r w:rsidRPr="00472954">
        <w:rPr>
          <w:rFonts w:eastAsia="Calibri"/>
          <w:sz w:val="22"/>
          <w:szCs w:val="22"/>
        </w:rPr>
        <w:t xml:space="preserve">. (2020).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Struktur</w:t>
      </w:r>
      <w:proofErr w:type="spellEnd"/>
      <w:r w:rsidRPr="00472954">
        <w:rPr>
          <w:rFonts w:eastAsia="Calibri"/>
          <w:sz w:val="22"/>
          <w:szCs w:val="22"/>
        </w:rPr>
        <w:t xml:space="preserve"> Modal Dan Kinerja </w:t>
      </w:r>
      <w:proofErr w:type="spellStart"/>
      <w:r w:rsidRPr="00472954">
        <w:rPr>
          <w:rFonts w:eastAsia="Calibri"/>
          <w:sz w:val="22"/>
          <w:szCs w:val="22"/>
        </w:rPr>
        <w:t>Keuangan</w:t>
      </w:r>
      <w:proofErr w:type="spellEnd"/>
      <w:r w:rsidRPr="00472954">
        <w:rPr>
          <w:rFonts w:eastAsia="Calibri"/>
          <w:sz w:val="22"/>
          <w:szCs w:val="22"/>
        </w:rPr>
        <w:t xml:space="preserve"> </w:t>
      </w:r>
      <w:proofErr w:type="spellStart"/>
      <w:r w:rsidRPr="00472954">
        <w:rPr>
          <w:rFonts w:eastAsia="Calibri"/>
          <w:sz w:val="22"/>
          <w:szCs w:val="22"/>
        </w:rPr>
        <w:t>Terhdap</w:t>
      </w:r>
      <w:proofErr w:type="spellEnd"/>
      <w:r w:rsidRPr="00472954">
        <w:rPr>
          <w:rFonts w:eastAsia="Calibri"/>
          <w:sz w:val="22"/>
          <w:szCs w:val="22"/>
        </w:rPr>
        <w:t xml:space="preserve"> Harga Saham Pada PT. Adaro Energy, </w:t>
      </w:r>
      <w:proofErr w:type="spellStart"/>
      <w:r w:rsidRPr="00472954">
        <w:rPr>
          <w:rFonts w:eastAsia="Calibri"/>
          <w:sz w:val="22"/>
          <w:szCs w:val="22"/>
        </w:rPr>
        <w:t>Tbk</w:t>
      </w:r>
      <w:proofErr w:type="spellEnd"/>
      <w:r w:rsidRPr="00472954">
        <w:rPr>
          <w:rFonts w:eastAsia="Calibri"/>
          <w:sz w:val="22"/>
          <w:szCs w:val="22"/>
        </w:rPr>
        <w:t xml:space="preserve">. </w:t>
      </w:r>
      <w:proofErr w:type="spellStart"/>
      <w:r w:rsidRPr="00472954">
        <w:rPr>
          <w:rFonts w:eastAsia="Calibri"/>
          <w:i/>
          <w:iCs/>
          <w:sz w:val="22"/>
          <w:szCs w:val="22"/>
        </w:rPr>
        <w:t>AkMen</w:t>
      </w:r>
      <w:proofErr w:type="spellEnd"/>
      <w:r w:rsidRPr="00472954">
        <w:rPr>
          <w:rFonts w:eastAsia="Calibri"/>
          <w:i/>
          <w:iCs/>
          <w:sz w:val="22"/>
          <w:szCs w:val="22"/>
        </w:rPr>
        <w:t xml:space="preserve">. </w:t>
      </w:r>
      <w:r w:rsidRPr="00472954">
        <w:rPr>
          <w:rFonts w:eastAsia="Calibri"/>
          <w:sz w:val="22"/>
          <w:szCs w:val="22"/>
        </w:rPr>
        <w:t xml:space="preserve">17(20): 270-280. </w:t>
      </w:r>
    </w:p>
    <w:p w14:paraId="5EE8D5F2" w14:textId="77777777" w:rsidR="00472954" w:rsidRPr="00472954" w:rsidRDefault="00472954" w:rsidP="00472954">
      <w:pPr>
        <w:autoSpaceDE w:val="0"/>
        <w:autoSpaceDN w:val="0"/>
        <w:adjustRightInd w:val="0"/>
        <w:ind w:left="426" w:hanging="426"/>
        <w:jc w:val="both"/>
        <w:rPr>
          <w:rFonts w:eastAsia="Calibri"/>
          <w:color w:val="000000"/>
          <w:sz w:val="22"/>
          <w:szCs w:val="22"/>
          <w:lang w:val="id-ID"/>
        </w:rPr>
      </w:pPr>
      <w:r w:rsidRPr="00472954">
        <w:rPr>
          <w:rFonts w:eastAsia="Calibri"/>
          <w:color w:val="000000"/>
          <w:sz w:val="22"/>
          <w:szCs w:val="22"/>
          <w:lang w:val="id-ID"/>
        </w:rPr>
        <w:t xml:space="preserve">Munib, Muhammad, Fatih. (2016). Pengaruh Kurs Rupiah, Inflasi Dan BI Rate Terhadap Harga Saham Perusahaan Sektor Perbankan Di BEI. </w:t>
      </w:r>
      <w:proofErr w:type="spellStart"/>
      <w:r w:rsidRPr="00472954">
        <w:rPr>
          <w:rFonts w:eastAsia="Calibri"/>
          <w:i/>
          <w:iCs/>
          <w:color w:val="000000"/>
          <w:sz w:val="22"/>
          <w:szCs w:val="22"/>
          <w:lang w:val="id-ID"/>
        </w:rPr>
        <w:t>eJournal</w:t>
      </w:r>
      <w:proofErr w:type="spellEnd"/>
      <w:r w:rsidRPr="00472954">
        <w:rPr>
          <w:rFonts w:eastAsia="Calibri"/>
          <w:i/>
          <w:iCs/>
          <w:color w:val="000000"/>
          <w:sz w:val="22"/>
          <w:szCs w:val="22"/>
          <w:lang w:val="id-ID"/>
        </w:rPr>
        <w:t xml:space="preserve"> Administrasi Bisnis</w:t>
      </w:r>
      <w:r w:rsidRPr="00472954">
        <w:rPr>
          <w:rFonts w:eastAsia="Calibri"/>
          <w:color w:val="000000"/>
          <w:sz w:val="22"/>
          <w:szCs w:val="22"/>
          <w:lang w:val="id-ID"/>
        </w:rPr>
        <w:t>, 4 (4), 947-959.</w:t>
      </w:r>
    </w:p>
    <w:p w14:paraId="25649CBA" w14:textId="77777777" w:rsidR="00472954" w:rsidRPr="00472954" w:rsidRDefault="00472954" w:rsidP="00472954">
      <w:pPr>
        <w:autoSpaceDE w:val="0"/>
        <w:autoSpaceDN w:val="0"/>
        <w:adjustRightInd w:val="0"/>
        <w:ind w:left="426" w:hanging="426"/>
        <w:jc w:val="both"/>
        <w:rPr>
          <w:rFonts w:eastAsia="Calibri"/>
          <w:color w:val="000000"/>
          <w:sz w:val="22"/>
          <w:szCs w:val="22"/>
          <w:lang w:val="id-ID"/>
        </w:rPr>
      </w:pPr>
      <w:r w:rsidRPr="00472954">
        <w:rPr>
          <w:rFonts w:eastAsia="Calibri"/>
          <w:color w:val="000000"/>
          <w:sz w:val="22"/>
          <w:szCs w:val="22"/>
          <w:lang w:val="id-ID"/>
        </w:rPr>
        <w:t xml:space="preserve">Natsir, M. (2014). </w:t>
      </w:r>
      <w:r w:rsidRPr="00472954">
        <w:rPr>
          <w:rFonts w:eastAsia="Calibri"/>
          <w:i/>
          <w:iCs/>
          <w:color w:val="000000"/>
          <w:sz w:val="22"/>
          <w:szCs w:val="22"/>
          <w:lang w:val="id-ID"/>
        </w:rPr>
        <w:t xml:space="preserve">Ekonomi Moneter Dan </w:t>
      </w:r>
      <w:proofErr w:type="spellStart"/>
      <w:r w:rsidRPr="00472954">
        <w:rPr>
          <w:rFonts w:eastAsia="Calibri"/>
          <w:i/>
          <w:iCs/>
          <w:color w:val="000000"/>
          <w:sz w:val="22"/>
          <w:szCs w:val="22"/>
          <w:lang w:val="id-ID"/>
        </w:rPr>
        <w:t>Kebanksentralan</w:t>
      </w:r>
      <w:proofErr w:type="spellEnd"/>
      <w:r w:rsidRPr="00472954">
        <w:rPr>
          <w:rFonts w:eastAsia="Calibri"/>
          <w:color w:val="000000"/>
          <w:sz w:val="22"/>
          <w:szCs w:val="22"/>
          <w:lang w:val="id-ID"/>
        </w:rPr>
        <w:t>. Jakarta: Mitra Wacana Media.</w:t>
      </w:r>
    </w:p>
    <w:p w14:paraId="1FDD500F" w14:textId="77777777" w:rsidR="00472954" w:rsidRPr="00472954" w:rsidRDefault="00472954" w:rsidP="00472954">
      <w:pPr>
        <w:autoSpaceDE w:val="0"/>
        <w:autoSpaceDN w:val="0"/>
        <w:adjustRightInd w:val="0"/>
        <w:ind w:left="426" w:hanging="426"/>
        <w:jc w:val="both"/>
        <w:rPr>
          <w:rFonts w:eastAsia="Calibri"/>
          <w:color w:val="000000"/>
          <w:sz w:val="22"/>
          <w:szCs w:val="22"/>
          <w:lang w:val="id-ID"/>
        </w:rPr>
      </w:pPr>
      <w:r w:rsidRPr="00472954">
        <w:rPr>
          <w:rFonts w:eastAsia="Calibri"/>
          <w:color w:val="000000"/>
          <w:sz w:val="22"/>
          <w:szCs w:val="22"/>
          <w:lang w:val="id-ID"/>
        </w:rPr>
        <w:t xml:space="preserve">Ningsih, Meidiana, Mulya., Waspada, </w:t>
      </w:r>
      <w:proofErr w:type="spellStart"/>
      <w:r w:rsidRPr="00472954">
        <w:rPr>
          <w:rFonts w:eastAsia="Calibri"/>
          <w:color w:val="000000"/>
          <w:sz w:val="22"/>
          <w:szCs w:val="22"/>
          <w:lang w:val="id-ID"/>
        </w:rPr>
        <w:t>Ikaputera</w:t>
      </w:r>
      <w:proofErr w:type="spellEnd"/>
      <w:r w:rsidRPr="00472954">
        <w:rPr>
          <w:rFonts w:eastAsia="Calibri"/>
          <w:color w:val="000000"/>
          <w:sz w:val="22"/>
          <w:szCs w:val="22"/>
          <w:lang w:val="id-ID"/>
        </w:rPr>
        <w:t xml:space="preserve">. 2019. Pengaruh Suku Bunga, Struktur Modal, dan Ukuran Perusahaan Terhadap Nilai Perusahaan: Studi Empiris Pada Perusahaan Di Indonesia. </w:t>
      </w:r>
      <w:r w:rsidRPr="00472954">
        <w:rPr>
          <w:rFonts w:eastAsia="Calibri"/>
          <w:i/>
          <w:iCs/>
          <w:color w:val="000000"/>
          <w:sz w:val="22"/>
          <w:szCs w:val="22"/>
          <w:lang w:val="id-ID"/>
        </w:rPr>
        <w:t>Jurnal Riset Akuntansi Dan Keuangan</w:t>
      </w:r>
      <w:r w:rsidRPr="00472954">
        <w:rPr>
          <w:rFonts w:eastAsia="Calibri"/>
          <w:color w:val="000000"/>
          <w:sz w:val="22"/>
          <w:szCs w:val="22"/>
          <w:lang w:val="id-ID"/>
        </w:rPr>
        <w:t>. 7(1): 97-110.</w:t>
      </w:r>
    </w:p>
    <w:p w14:paraId="085503AE"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Nuryartono</w:t>
      </w:r>
      <w:proofErr w:type="spellEnd"/>
      <w:r w:rsidRPr="00472954">
        <w:rPr>
          <w:rFonts w:eastAsia="Calibri"/>
          <w:sz w:val="22"/>
          <w:szCs w:val="22"/>
        </w:rPr>
        <w:t xml:space="preserve">, N., </w:t>
      </w:r>
      <w:proofErr w:type="spellStart"/>
      <w:r w:rsidRPr="00472954">
        <w:rPr>
          <w:rFonts w:eastAsia="Calibri"/>
          <w:sz w:val="22"/>
          <w:szCs w:val="22"/>
        </w:rPr>
        <w:t>Andati</w:t>
      </w:r>
      <w:proofErr w:type="spellEnd"/>
      <w:r w:rsidRPr="00472954">
        <w:rPr>
          <w:rFonts w:eastAsia="Calibri"/>
          <w:sz w:val="22"/>
          <w:szCs w:val="22"/>
        </w:rPr>
        <w:t xml:space="preserve">, T. (2019).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Faktor</w:t>
      </w:r>
      <w:proofErr w:type="spellEnd"/>
      <w:r w:rsidRPr="00472954">
        <w:rPr>
          <w:rFonts w:eastAsia="Calibri"/>
          <w:sz w:val="22"/>
          <w:szCs w:val="22"/>
        </w:rPr>
        <w:t xml:space="preserve"> Internal Dan </w:t>
      </w:r>
      <w:proofErr w:type="spellStart"/>
      <w:r w:rsidRPr="00472954">
        <w:rPr>
          <w:rFonts w:eastAsia="Calibri"/>
          <w:sz w:val="22"/>
          <w:szCs w:val="22"/>
        </w:rPr>
        <w:t>Eksternal</w:t>
      </w:r>
      <w:proofErr w:type="spellEnd"/>
      <w:r w:rsidRPr="00472954">
        <w:rPr>
          <w:rFonts w:eastAsia="Calibri"/>
          <w:sz w:val="22"/>
          <w:szCs w:val="22"/>
        </w:rPr>
        <w:t xml:space="preserve"> Perusahaan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Aplikasi</w:t>
      </w:r>
      <w:proofErr w:type="spellEnd"/>
      <w:r w:rsidRPr="00472954">
        <w:rPr>
          <w:rFonts w:eastAsia="Calibri"/>
          <w:i/>
          <w:iCs/>
          <w:sz w:val="22"/>
          <w:szCs w:val="22"/>
        </w:rPr>
        <w:t xml:space="preserve"> </w:t>
      </w:r>
      <w:proofErr w:type="spellStart"/>
      <w:r w:rsidRPr="00472954">
        <w:rPr>
          <w:rFonts w:eastAsia="Calibri"/>
          <w:i/>
          <w:iCs/>
          <w:sz w:val="22"/>
          <w:szCs w:val="22"/>
        </w:rPr>
        <w:t>Manajemen</w:t>
      </w:r>
      <w:proofErr w:type="spellEnd"/>
      <w:r w:rsidRPr="00472954">
        <w:rPr>
          <w:rFonts w:eastAsia="Calibri"/>
          <w:i/>
          <w:iCs/>
          <w:sz w:val="22"/>
          <w:szCs w:val="22"/>
        </w:rPr>
        <w:t xml:space="preserve"> Dan </w:t>
      </w:r>
      <w:proofErr w:type="spellStart"/>
      <w:r w:rsidRPr="00472954">
        <w:rPr>
          <w:rFonts w:eastAsia="Calibri"/>
          <w:i/>
          <w:iCs/>
          <w:sz w:val="22"/>
          <w:szCs w:val="22"/>
        </w:rPr>
        <w:t>Bisnis</w:t>
      </w:r>
      <w:proofErr w:type="spellEnd"/>
      <w:r w:rsidRPr="00472954">
        <w:rPr>
          <w:rFonts w:eastAsia="Calibri"/>
          <w:sz w:val="22"/>
          <w:szCs w:val="22"/>
        </w:rPr>
        <w:t>. 5 (3): 441-454.</w:t>
      </w:r>
    </w:p>
    <w:p w14:paraId="407ACE7A"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Odondo</w:t>
      </w:r>
      <w:proofErr w:type="spellEnd"/>
      <w:r w:rsidRPr="00472954">
        <w:rPr>
          <w:rFonts w:eastAsia="Calibri"/>
          <w:sz w:val="22"/>
          <w:szCs w:val="22"/>
        </w:rPr>
        <w:t xml:space="preserve">, K. (2014). </w:t>
      </w:r>
      <w:r w:rsidRPr="00472954">
        <w:rPr>
          <w:rFonts w:eastAsia="Calibri"/>
          <w:i/>
          <w:iCs/>
          <w:sz w:val="22"/>
          <w:szCs w:val="22"/>
        </w:rPr>
        <w:t xml:space="preserve">Capital Structure, Profitability </w:t>
      </w:r>
      <w:proofErr w:type="gramStart"/>
      <w:r w:rsidRPr="00472954">
        <w:rPr>
          <w:rFonts w:eastAsia="Calibri"/>
          <w:i/>
          <w:iCs/>
          <w:sz w:val="22"/>
          <w:szCs w:val="22"/>
        </w:rPr>
        <w:t>And</w:t>
      </w:r>
      <w:proofErr w:type="gramEnd"/>
      <w:r w:rsidRPr="00472954">
        <w:rPr>
          <w:rFonts w:eastAsia="Calibri"/>
          <w:i/>
          <w:iCs/>
          <w:sz w:val="22"/>
          <w:szCs w:val="22"/>
        </w:rPr>
        <w:t xml:space="preserve"> Firm Value: Panel Evidence Of Listed Firms In Kenya</w:t>
      </w:r>
      <w:r w:rsidRPr="00472954">
        <w:rPr>
          <w:rFonts w:eastAsia="Calibri"/>
          <w:sz w:val="22"/>
          <w:szCs w:val="22"/>
        </w:rPr>
        <w:t xml:space="preserve">. Munich Personal </w:t>
      </w:r>
      <w:proofErr w:type="spellStart"/>
      <w:r w:rsidRPr="00472954">
        <w:rPr>
          <w:rFonts w:eastAsia="Calibri"/>
          <w:sz w:val="22"/>
          <w:szCs w:val="22"/>
        </w:rPr>
        <w:t>RePEc</w:t>
      </w:r>
      <w:proofErr w:type="spellEnd"/>
      <w:r w:rsidRPr="00472954">
        <w:rPr>
          <w:rFonts w:eastAsia="Calibri"/>
          <w:sz w:val="22"/>
          <w:szCs w:val="22"/>
        </w:rPr>
        <w:t xml:space="preserve"> Archive: University of the Witwatersrand.</w:t>
      </w:r>
    </w:p>
    <w:p w14:paraId="424FF4DD"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Oktrima</w:t>
      </w:r>
      <w:proofErr w:type="spellEnd"/>
      <w:r w:rsidRPr="00472954">
        <w:rPr>
          <w:rFonts w:eastAsia="Calibri"/>
          <w:sz w:val="22"/>
          <w:szCs w:val="22"/>
        </w:rPr>
        <w:t xml:space="preserve">, B. (2017).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Profitabilitas</w:t>
      </w:r>
      <w:proofErr w:type="spellEnd"/>
      <w:r w:rsidRPr="00472954">
        <w:rPr>
          <w:rFonts w:eastAsia="Calibri"/>
          <w:sz w:val="22"/>
          <w:szCs w:val="22"/>
        </w:rPr>
        <w:t xml:space="preserve">, </w:t>
      </w:r>
      <w:proofErr w:type="spellStart"/>
      <w:r w:rsidRPr="00472954">
        <w:rPr>
          <w:rFonts w:eastAsia="Calibri"/>
          <w:sz w:val="22"/>
          <w:szCs w:val="22"/>
        </w:rPr>
        <w:t>Likuiditas</w:t>
      </w:r>
      <w:proofErr w:type="spellEnd"/>
      <w:r w:rsidRPr="00472954">
        <w:rPr>
          <w:rFonts w:eastAsia="Calibri"/>
          <w:sz w:val="22"/>
          <w:szCs w:val="22"/>
        </w:rPr>
        <w:t xml:space="preserve"> Dan </w:t>
      </w:r>
      <w:proofErr w:type="spellStart"/>
      <w:r w:rsidRPr="00472954">
        <w:rPr>
          <w:rFonts w:eastAsia="Calibri"/>
          <w:sz w:val="22"/>
          <w:szCs w:val="22"/>
        </w:rPr>
        <w:t>Struktur</w:t>
      </w:r>
      <w:proofErr w:type="spellEnd"/>
      <w:r w:rsidRPr="00472954">
        <w:rPr>
          <w:rFonts w:eastAsia="Calibri"/>
          <w:sz w:val="22"/>
          <w:szCs w:val="22"/>
        </w:rPr>
        <w:t xml:space="preserve"> Modal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Sekuritas</w:t>
      </w:r>
      <w:proofErr w:type="spellEnd"/>
      <w:r w:rsidRPr="00472954">
        <w:rPr>
          <w:rFonts w:eastAsia="Calibri"/>
          <w:sz w:val="22"/>
          <w:szCs w:val="22"/>
        </w:rPr>
        <w:t>. 1(1): 98-107</w:t>
      </w:r>
    </w:p>
    <w:p w14:paraId="10719443"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Pahlevi</w:t>
      </w:r>
      <w:proofErr w:type="spellEnd"/>
      <w:r w:rsidRPr="00472954">
        <w:rPr>
          <w:rFonts w:eastAsia="Calibri"/>
          <w:sz w:val="22"/>
          <w:szCs w:val="22"/>
        </w:rPr>
        <w:t xml:space="preserve">, Reza. (2021). </w:t>
      </w:r>
      <w:proofErr w:type="spellStart"/>
      <w:r w:rsidRPr="00472954">
        <w:rPr>
          <w:rFonts w:eastAsia="Calibri"/>
          <w:sz w:val="22"/>
          <w:szCs w:val="22"/>
        </w:rPr>
        <w:t>Industri</w:t>
      </w:r>
      <w:proofErr w:type="spellEnd"/>
      <w:r w:rsidRPr="00472954">
        <w:rPr>
          <w:rFonts w:eastAsia="Calibri"/>
          <w:sz w:val="22"/>
          <w:szCs w:val="22"/>
        </w:rPr>
        <w:t xml:space="preserve"> </w:t>
      </w:r>
      <w:proofErr w:type="spellStart"/>
      <w:r w:rsidRPr="00472954">
        <w:rPr>
          <w:rFonts w:eastAsia="Calibri"/>
          <w:sz w:val="22"/>
          <w:szCs w:val="22"/>
        </w:rPr>
        <w:t>Otomotif</w:t>
      </w:r>
      <w:proofErr w:type="spellEnd"/>
      <w:r w:rsidRPr="00472954">
        <w:rPr>
          <w:rFonts w:eastAsia="Calibri"/>
          <w:sz w:val="22"/>
          <w:szCs w:val="22"/>
        </w:rPr>
        <w:t xml:space="preserve"> </w:t>
      </w:r>
      <w:proofErr w:type="spellStart"/>
      <w:r w:rsidRPr="00472954">
        <w:rPr>
          <w:rFonts w:eastAsia="Calibri"/>
          <w:sz w:val="22"/>
          <w:szCs w:val="22"/>
        </w:rPr>
        <w:t>Menggeliat</w:t>
      </w:r>
      <w:proofErr w:type="spellEnd"/>
      <w:r w:rsidRPr="00472954">
        <w:rPr>
          <w:rFonts w:eastAsia="Calibri"/>
          <w:sz w:val="22"/>
          <w:szCs w:val="22"/>
        </w:rPr>
        <w:t xml:space="preserve">, </w:t>
      </w:r>
      <w:proofErr w:type="spellStart"/>
      <w:r w:rsidRPr="00472954">
        <w:rPr>
          <w:rFonts w:eastAsia="Calibri"/>
          <w:sz w:val="22"/>
          <w:szCs w:val="22"/>
        </w:rPr>
        <w:t>Penjualan</w:t>
      </w:r>
      <w:proofErr w:type="spellEnd"/>
      <w:r w:rsidRPr="00472954">
        <w:rPr>
          <w:rFonts w:eastAsia="Calibri"/>
          <w:sz w:val="22"/>
          <w:szCs w:val="22"/>
        </w:rPr>
        <w:t xml:space="preserve"> Mobil </w:t>
      </w:r>
      <w:proofErr w:type="spellStart"/>
      <w:r w:rsidRPr="00472954">
        <w:rPr>
          <w:rFonts w:eastAsia="Calibri"/>
          <w:sz w:val="22"/>
          <w:szCs w:val="22"/>
        </w:rPr>
        <w:t>Meningkat</w:t>
      </w:r>
      <w:proofErr w:type="spellEnd"/>
      <w:r w:rsidRPr="00472954">
        <w:rPr>
          <w:rFonts w:eastAsia="Calibri"/>
          <w:sz w:val="22"/>
          <w:szCs w:val="22"/>
        </w:rPr>
        <w:t xml:space="preserve"> 43,98 </w:t>
      </w:r>
      <w:proofErr w:type="spellStart"/>
      <w:r w:rsidRPr="00472954">
        <w:rPr>
          <w:rFonts w:eastAsia="Calibri"/>
          <w:sz w:val="22"/>
          <w:szCs w:val="22"/>
        </w:rPr>
        <w:t>Persen</w:t>
      </w:r>
      <w:proofErr w:type="spellEnd"/>
      <w:r w:rsidRPr="00472954">
        <w:rPr>
          <w:rFonts w:eastAsia="Calibri"/>
          <w:sz w:val="22"/>
          <w:szCs w:val="22"/>
        </w:rPr>
        <w:t xml:space="preserve">. </w:t>
      </w:r>
      <w:hyperlink r:id="rId13" w:history="1">
        <w:r w:rsidRPr="00472954">
          <w:rPr>
            <w:rFonts w:eastAsia="Calibri"/>
            <w:color w:val="0563C1"/>
            <w:sz w:val="22"/>
            <w:szCs w:val="22"/>
            <w:u w:val="single"/>
          </w:rPr>
          <w:t>https://www.trenasia.com/industri-otomotif-menggeliat-penjualan-mobil-meningkat-4398-persen</w:t>
        </w:r>
      </w:hyperlink>
    </w:p>
    <w:p w14:paraId="705176E0"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Palupi</w:t>
      </w:r>
      <w:proofErr w:type="spellEnd"/>
      <w:r w:rsidRPr="00472954">
        <w:rPr>
          <w:rFonts w:eastAsia="Calibri"/>
          <w:sz w:val="22"/>
          <w:szCs w:val="22"/>
        </w:rPr>
        <w:t xml:space="preserve">, R.S., </w:t>
      </w:r>
      <w:proofErr w:type="spellStart"/>
      <w:r w:rsidRPr="00472954">
        <w:rPr>
          <w:rFonts w:eastAsia="Calibri"/>
          <w:sz w:val="22"/>
          <w:szCs w:val="22"/>
        </w:rPr>
        <w:t>Hendrianto</w:t>
      </w:r>
      <w:proofErr w:type="spellEnd"/>
      <w:r w:rsidRPr="00472954">
        <w:rPr>
          <w:rFonts w:eastAsia="Calibri"/>
          <w:sz w:val="22"/>
          <w:szCs w:val="22"/>
        </w:rPr>
        <w:t xml:space="preserve">, S. (2018). </w:t>
      </w:r>
      <w:proofErr w:type="spellStart"/>
      <w:r w:rsidRPr="00472954">
        <w:rPr>
          <w:rFonts w:eastAsia="Calibri"/>
          <w:sz w:val="22"/>
          <w:szCs w:val="22"/>
        </w:rPr>
        <w:t>Kebijakan</w:t>
      </w:r>
      <w:proofErr w:type="spellEnd"/>
      <w:r w:rsidRPr="00472954">
        <w:rPr>
          <w:rFonts w:eastAsia="Calibri"/>
          <w:sz w:val="22"/>
          <w:szCs w:val="22"/>
        </w:rPr>
        <w:t xml:space="preserve"> </w:t>
      </w:r>
      <w:proofErr w:type="spellStart"/>
      <w:r w:rsidRPr="00472954">
        <w:rPr>
          <w:rFonts w:eastAsia="Calibri"/>
          <w:sz w:val="22"/>
          <w:szCs w:val="22"/>
        </w:rPr>
        <w:t>Hutang</w:t>
      </w:r>
      <w:proofErr w:type="spellEnd"/>
      <w:r w:rsidRPr="00472954">
        <w:rPr>
          <w:rFonts w:eastAsia="Calibri"/>
          <w:sz w:val="22"/>
          <w:szCs w:val="22"/>
        </w:rPr>
        <w:t xml:space="preserve">, </w:t>
      </w:r>
      <w:proofErr w:type="spellStart"/>
      <w:r w:rsidRPr="00472954">
        <w:rPr>
          <w:rFonts w:eastAsia="Calibri"/>
          <w:sz w:val="22"/>
          <w:szCs w:val="22"/>
        </w:rPr>
        <w:t>Profitabilitas</w:t>
      </w:r>
      <w:proofErr w:type="spellEnd"/>
      <w:r w:rsidRPr="00472954">
        <w:rPr>
          <w:rFonts w:eastAsia="Calibri"/>
          <w:sz w:val="22"/>
          <w:szCs w:val="22"/>
        </w:rPr>
        <w:t xml:space="preserve"> dan </w:t>
      </w:r>
      <w:proofErr w:type="spellStart"/>
      <w:r w:rsidRPr="00472954">
        <w:rPr>
          <w:rFonts w:eastAsia="Calibri"/>
          <w:sz w:val="22"/>
          <w:szCs w:val="22"/>
        </w:rPr>
        <w:t>Kebijakan</w:t>
      </w:r>
      <w:proofErr w:type="spellEnd"/>
      <w:r w:rsidRPr="00472954">
        <w:rPr>
          <w:rFonts w:eastAsia="Calibri"/>
          <w:sz w:val="22"/>
          <w:szCs w:val="22"/>
        </w:rPr>
        <w:t xml:space="preserve"> </w:t>
      </w:r>
      <w:proofErr w:type="spellStart"/>
      <w:r w:rsidRPr="00472954">
        <w:rPr>
          <w:rFonts w:eastAsia="Calibri"/>
          <w:sz w:val="22"/>
          <w:szCs w:val="22"/>
        </w:rPr>
        <w:t>Dividen</w:t>
      </w:r>
      <w:proofErr w:type="spellEnd"/>
      <w:r w:rsidRPr="00472954">
        <w:rPr>
          <w:rFonts w:eastAsia="Calibri"/>
          <w:sz w:val="22"/>
          <w:szCs w:val="22"/>
        </w:rPr>
        <w:t xml:space="preserve"> Pada Nilai Perusahaan </w:t>
      </w:r>
      <w:proofErr w:type="spellStart"/>
      <w:r w:rsidRPr="00472954">
        <w:rPr>
          <w:rFonts w:eastAsia="Calibri"/>
          <w:sz w:val="22"/>
          <w:szCs w:val="22"/>
        </w:rPr>
        <w:t>Properti</w:t>
      </w:r>
      <w:proofErr w:type="spellEnd"/>
      <w:r w:rsidRPr="00472954">
        <w:rPr>
          <w:rFonts w:eastAsia="Calibri"/>
          <w:sz w:val="22"/>
          <w:szCs w:val="22"/>
        </w:rPr>
        <w:t xml:space="preserve"> Dan Real Estate.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Ecodemica</w:t>
      </w:r>
      <w:proofErr w:type="spellEnd"/>
      <w:r w:rsidRPr="00472954">
        <w:rPr>
          <w:rFonts w:eastAsia="Calibri"/>
          <w:sz w:val="22"/>
          <w:szCs w:val="22"/>
        </w:rPr>
        <w:t>. 2(2): 177-185.</w:t>
      </w:r>
    </w:p>
    <w:p w14:paraId="004A537C"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lang w:val="id-ID"/>
        </w:rPr>
        <w:t xml:space="preserve">Pangestuti, D.C. (2020). </w:t>
      </w:r>
      <w:r w:rsidRPr="00472954">
        <w:rPr>
          <w:rFonts w:eastAsia="Calibri"/>
          <w:i/>
          <w:iCs/>
          <w:sz w:val="22"/>
          <w:szCs w:val="22"/>
          <w:lang w:val="id-ID"/>
        </w:rPr>
        <w:t>Manajemen Keuangan Internasional</w:t>
      </w:r>
      <w:r w:rsidRPr="00472954">
        <w:rPr>
          <w:rFonts w:eastAsia="Calibri"/>
          <w:sz w:val="22"/>
          <w:szCs w:val="22"/>
          <w:lang w:val="id-ID"/>
        </w:rPr>
        <w:t>. Yogyakarta: CV. Budi Utama.</w:t>
      </w:r>
    </w:p>
    <w:p w14:paraId="3E7162EF"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Putsara</w:t>
      </w:r>
      <w:proofErr w:type="spellEnd"/>
      <w:r w:rsidRPr="00472954">
        <w:rPr>
          <w:rFonts w:eastAsia="Calibri"/>
          <w:sz w:val="22"/>
          <w:szCs w:val="22"/>
        </w:rPr>
        <w:t xml:space="preserve">, </w:t>
      </w:r>
      <w:proofErr w:type="spellStart"/>
      <w:r w:rsidRPr="00472954">
        <w:rPr>
          <w:rFonts w:eastAsia="Calibri"/>
          <w:sz w:val="22"/>
          <w:szCs w:val="22"/>
        </w:rPr>
        <w:t>Dipna</w:t>
      </w:r>
      <w:proofErr w:type="spellEnd"/>
      <w:r w:rsidRPr="00472954">
        <w:rPr>
          <w:rFonts w:eastAsia="Calibri"/>
          <w:sz w:val="22"/>
          <w:szCs w:val="22"/>
        </w:rPr>
        <w:t xml:space="preserve">, </w:t>
      </w:r>
      <w:proofErr w:type="spellStart"/>
      <w:r w:rsidRPr="00472954">
        <w:rPr>
          <w:rFonts w:eastAsia="Calibri"/>
          <w:sz w:val="22"/>
          <w:szCs w:val="22"/>
        </w:rPr>
        <w:t>Videlia</w:t>
      </w:r>
      <w:proofErr w:type="spellEnd"/>
      <w:r w:rsidRPr="00472954">
        <w:rPr>
          <w:rFonts w:eastAsia="Calibri"/>
          <w:sz w:val="22"/>
          <w:szCs w:val="22"/>
        </w:rPr>
        <w:t xml:space="preserve">. (2020). Arti </w:t>
      </w:r>
      <w:proofErr w:type="spellStart"/>
      <w:r w:rsidRPr="00472954">
        <w:rPr>
          <w:rFonts w:eastAsia="Calibri"/>
          <w:sz w:val="22"/>
          <w:szCs w:val="22"/>
        </w:rPr>
        <w:t>Resesi</w:t>
      </w:r>
      <w:proofErr w:type="spellEnd"/>
      <w:r w:rsidRPr="00472954">
        <w:rPr>
          <w:rFonts w:eastAsia="Calibri"/>
          <w:sz w:val="22"/>
          <w:szCs w:val="22"/>
        </w:rPr>
        <w:t xml:space="preserve"> Ekonomi: </w:t>
      </w:r>
      <w:proofErr w:type="spellStart"/>
      <w:r w:rsidRPr="00472954">
        <w:rPr>
          <w:rFonts w:eastAsia="Calibri"/>
          <w:sz w:val="22"/>
          <w:szCs w:val="22"/>
        </w:rPr>
        <w:t>Penyebab</w:t>
      </w:r>
      <w:proofErr w:type="spellEnd"/>
      <w:r w:rsidRPr="00472954">
        <w:rPr>
          <w:rFonts w:eastAsia="Calibri"/>
          <w:sz w:val="22"/>
          <w:szCs w:val="22"/>
        </w:rPr>
        <w:t xml:space="preserve">, </w:t>
      </w:r>
      <w:proofErr w:type="spellStart"/>
      <w:r w:rsidRPr="00472954">
        <w:rPr>
          <w:rFonts w:eastAsia="Calibri"/>
          <w:sz w:val="22"/>
          <w:szCs w:val="22"/>
        </w:rPr>
        <w:t>Dampak</w:t>
      </w:r>
      <w:proofErr w:type="spellEnd"/>
      <w:r w:rsidRPr="00472954">
        <w:rPr>
          <w:rFonts w:eastAsia="Calibri"/>
          <w:sz w:val="22"/>
          <w:szCs w:val="22"/>
        </w:rPr>
        <w:t xml:space="preserve"> &amp; </w:t>
      </w:r>
      <w:proofErr w:type="spellStart"/>
      <w:r w:rsidRPr="00472954">
        <w:rPr>
          <w:rFonts w:eastAsia="Calibri"/>
          <w:sz w:val="22"/>
          <w:szCs w:val="22"/>
        </w:rPr>
        <w:t>Ciri</w:t>
      </w:r>
      <w:proofErr w:type="spellEnd"/>
      <w:r w:rsidRPr="00472954">
        <w:rPr>
          <w:rFonts w:eastAsia="Calibri"/>
          <w:sz w:val="22"/>
          <w:szCs w:val="22"/>
        </w:rPr>
        <w:t xml:space="preserve"> Negara Yang </w:t>
      </w:r>
      <w:proofErr w:type="spellStart"/>
      <w:r w:rsidRPr="00472954">
        <w:rPr>
          <w:rFonts w:eastAsia="Calibri"/>
          <w:sz w:val="22"/>
          <w:szCs w:val="22"/>
        </w:rPr>
        <w:t>Mengalami</w:t>
      </w:r>
      <w:proofErr w:type="spellEnd"/>
      <w:r w:rsidRPr="00472954">
        <w:rPr>
          <w:rFonts w:eastAsia="Calibri"/>
          <w:sz w:val="22"/>
          <w:szCs w:val="22"/>
        </w:rPr>
        <w:t xml:space="preserve">. </w:t>
      </w:r>
      <w:hyperlink r:id="rId14" w:history="1">
        <w:r w:rsidRPr="00472954">
          <w:rPr>
            <w:rFonts w:eastAsia="Calibri"/>
            <w:color w:val="0563C1"/>
            <w:sz w:val="22"/>
            <w:szCs w:val="22"/>
            <w:u w:val="single"/>
          </w:rPr>
          <w:t>https://tirto.id/arti-resesi-ekonomi-penyebab-dampak-ciri-negara-yang-mengalami-f2ww</w:t>
        </w:r>
      </w:hyperlink>
    </w:p>
    <w:p w14:paraId="1EED4F15"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Retty</w:t>
      </w:r>
      <w:proofErr w:type="spellEnd"/>
      <w:r w:rsidRPr="00472954">
        <w:rPr>
          <w:rFonts w:eastAsia="Calibri"/>
          <w:sz w:val="22"/>
          <w:szCs w:val="22"/>
        </w:rPr>
        <w:t xml:space="preserve">, S., </w:t>
      </w:r>
      <w:proofErr w:type="spellStart"/>
      <w:r w:rsidRPr="00472954">
        <w:rPr>
          <w:rFonts w:eastAsia="Calibri"/>
          <w:sz w:val="22"/>
          <w:szCs w:val="22"/>
        </w:rPr>
        <w:t>Romli</w:t>
      </w:r>
      <w:proofErr w:type="spellEnd"/>
      <w:r w:rsidRPr="00472954">
        <w:rPr>
          <w:rFonts w:eastAsia="Calibri"/>
          <w:sz w:val="22"/>
          <w:szCs w:val="22"/>
        </w:rPr>
        <w:t xml:space="preserve">, H., </w:t>
      </w:r>
      <w:proofErr w:type="spellStart"/>
      <w:r w:rsidRPr="00472954">
        <w:rPr>
          <w:rFonts w:eastAsia="Calibri"/>
          <w:sz w:val="22"/>
          <w:szCs w:val="22"/>
        </w:rPr>
        <w:t>Marnisah</w:t>
      </w:r>
      <w:proofErr w:type="spellEnd"/>
      <w:r w:rsidRPr="00472954">
        <w:rPr>
          <w:rFonts w:eastAsia="Calibri"/>
          <w:sz w:val="22"/>
          <w:szCs w:val="22"/>
        </w:rPr>
        <w:t xml:space="preserve">, L. (2020).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Faktor</w:t>
      </w:r>
      <w:proofErr w:type="spellEnd"/>
      <w:r w:rsidRPr="00472954">
        <w:rPr>
          <w:rFonts w:eastAsia="Calibri"/>
          <w:sz w:val="22"/>
          <w:szCs w:val="22"/>
        </w:rPr>
        <w:t xml:space="preserve"> Fundamental Makro Dan </w:t>
      </w:r>
      <w:proofErr w:type="spellStart"/>
      <w:r w:rsidRPr="00472954">
        <w:rPr>
          <w:rFonts w:eastAsia="Calibri"/>
          <w:sz w:val="22"/>
          <w:szCs w:val="22"/>
        </w:rPr>
        <w:t>Mikro</w:t>
      </w:r>
      <w:proofErr w:type="spellEnd"/>
      <w:r w:rsidRPr="00472954">
        <w:rPr>
          <w:rFonts w:eastAsia="Calibri"/>
          <w:sz w:val="22"/>
          <w:szCs w:val="22"/>
        </w:rPr>
        <w:t xml:space="preserve"> Perusahaan </w:t>
      </w:r>
      <w:proofErr w:type="spellStart"/>
      <w:r w:rsidRPr="00472954">
        <w:rPr>
          <w:rFonts w:eastAsia="Calibri"/>
          <w:sz w:val="22"/>
          <w:szCs w:val="22"/>
        </w:rPr>
        <w:t>Terhadap</w:t>
      </w:r>
      <w:proofErr w:type="spellEnd"/>
      <w:r w:rsidRPr="00472954">
        <w:rPr>
          <w:rFonts w:eastAsia="Calibri"/>
          <w:sz w:val="22"/>
          <w:szCs w:val="22"/>
        </w:rPr>
        <w:t xml:space="preserve"> Nilai Perusahaan (Pada </w:t>
      </w:r>
      <w:proofErr w:type="spellStart"/>
      <w:r w:rsidRPr="00472954">
        <w:rPr>
          <w:rFonts w:eastAsia="Calibri"/>
          <w:sz w:val="22"/>
          <w:szCs w:val="22"/>
        </w:rPr>
        <w:t>Industri</w:t>
      </w:r>
      <w:proofErr w:type="spellEnd"/>
      <w:r w:rsidRPr="00472954">
        <w:rPr>
          <w:rFonts w:eastAsia="Calibri"/>
          <w:sz w:val="22"/>
          <w:szCs w:val="22"/>
        </w:rPr>
        <w:t xml:space="preserve"> Pulp </w:t>
      </w:r>
      <w:proofErr w:type="gramStart"/>
      <w:r w:rsidRPr="00472954">
        <w:rPr>
          <w:rFonts w:eastAsia="Calibri"/>
          <w:sz w:val="22"/>
          <w:szCs w:val="22"/>
        </w:rPr>
        <w:t>And</w:t>
      </w:r>
      <w:proofErr w:type="gramEnd"/>
      <w:r w:rsidRPr="00472954">
        <w:rPr>
          <w:rFonts w:eastAsia="Calibri"/>
          <w:sz w:val="22"/>
          <w:szCs w:val="22"/>
        </w:rPr>
        <w:t xml:space="preserve"> Paper Yang </w:t>
      </w:r>
      <w:proofErr w:type="spellStart"/>
      <w:r w:rsidRPr="00472954">
        <w:rPr>
          <w:rFonts w:eastAsia="Calibri"/>
          <w:sz w:val="22"/>
          <w:szCs w:val="22"/>
        </w:rPr>
        <w:t>Terdaftar</w:t>
      </w:r>
      <w:proofErr w:type="spellEnd"/>
      <w:r w:rsidRPr="00472954">
        <w:rPr>
          <w:rFonts w:eastAsia="Calibri"/>
          <w:sz w:val="22"/>
          <w:szCs w:val="22"/>
        </w:rPr>
        <w:t xml:space="preserve"> Di BEI).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Ecoment</w:t>
      </w:r>
      <w:proofErr w:type="spellEnd"/>
      <w:r w:rsidRPr="00472954">
        <w:rPr>
          <w:rFonts w:eastAsia="Calibri"/>
          <w:i/>
          <w:iCs/>
          <w:sz w:val="22"/>
          <w:szCs w:val="22"/>
        </w:rPr>
        <w:t xml:space="preserve"> Global. </w:t>
      </w:r>
      <w:r w:rsidRPr="00472954">
        <w:rPr>
          <w:rFonts w:eastAsia="Calibri"/>
          <w:sz w:val="22"/>
          <w:szCs w:val="22"/>
        </w:rPr>
        <w:t>5(2): 237-250.</w:t>
      </w:r>
    </w:p>
    <w:p w14:paraId="10FF9BD8" w14:textId="77777777" w:rsidR="00472954" w:rsidRPr="00472954" w:rsidRDefault="00472954" w:rsidP="00472954">
      <w:pPr>
        <w:ind w:left="426" w:hanging="426"/>
        <w:jc w:val="both"/>
        <w:rPr>
          <w:rFonts w:eastAsia="Calibri"/>
          <w:sz w:val="22"/>
          <w:szCs w:val="22"/>
        </w:rPr>
      </w:pPr>
      <w:r w:rsidRPr="00472954">
        <w:rPr>
          <w:rFonts w:eastAsia="Calibri"/>
          <w:sz w:val="22"/>
          <w:szCs w:val="22"/>
        </w:rPr>
        <w:t xml:space="preserve">Sari, D.M. (2016).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Struktur</w:t>
      </w:r>
      <w:proofErr w:type="spellEnd"/>
      <w:r w:rsidRPr="00472954">
        <w:rPr>
          <w:rFonts w:eastAsia="Calibri"/>
          <w:sz w:val="22"/>
          <w:szCs w:val="22"/>
        </w:rPr>
        <w:t xml:space="preserve"> Modal Dan Kinerja </w:t>
      </w:r>
      <w:proofErr w:type="spellStart"/>
      <w:r w:rsidRPr="00472954">
        <w:rPr>
          <w:rFonts w:eastAsia="Calibri"/>
          <w:sz w:val="22"/>
          <w:szCs w:val="22"/>
        </w:rPr>
        <w:t>Keuangan</w:t>
      </w:r>
      <w:proofErr w:type="spellEnd"/>
      <w:r w:rsidRPr="00472954">
        <w:rPr>
          <w:rFonts w:eastAsia="Calibri"/>
          <w:sz w:val="22"/>
          <w:szCs w:val="22"/>
        </w:rPr>
        <w:t xml:space="preserve"> </w:t>
      </w:r>
      <w:proofErr w:type="spellStart"/>
      <w:r w:rsidRPr="00472954">
        <w:rPr>
          <w:rFonts w:eastAsia="Calibri"/>
          <w:sz w:val="22"/>
          <w:szCs w:val="22"/>
        </w:rPr>
        <w:t>Perbankan</w:t>
      </w:r>
      <w:proofErr w:type="spellEnd"/>
      <w:r w:rsidRPr="00472954">
        <w:rPr>
          <w:rFonts w:eastAsia="Calibri"/>
          <w:sz w:val="22"/>
          <w:szCs w:val="22"/>
        </w:rPr>
        <w:t xml:space="preserve"> Di Bura </w:t>
      </w:r>
      <w:proofErr w:type="spellStart"/>
      <w:r w:rsidRPr="00472954">
        <w:rPr>
          <w:rFonts w:eastAsia="Calibri"/>
          <w:sz w:val="22"/>
          <w:szCs w:val="22"/>
        </w:rPr>
        <w:t>Efek</w:t>
      </w:r>
      <w:proofErr w:type="spellEnd"/>
      <w:r w:rsidRPr="00472954">
        <w:rPr>
          <w:rFonts w:eastAsia="Calibri"/>
          <w:sz w:val="22"/>
          <w:szCs w:val="22"/>
        </w:rPr>
        <w:t xml:space="preserve"> Indonesia.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Ilmiah</w:t>
      </w:r>
      <w:proofErr w:type="spellEnd"/>
      <w:r w:rsidRPr="00472954">
        <w:rPr>
          <w:rFonts w:eastAsia="Calibri"/>
          <w:i/>
          <w:iCs/>
          <w:sz w:val="22"/>
          <w:szCs w:val="22"/>
        </w:rPr>
        <w:t xml:space="preserve"> Ekonomi Global Masa </w:t>
      </w:r>
      <w:proofErr w:type="spellStart"/>
      <w:r w:rsidRPr="00472954">
        <w:rPr>
          <w:rFonts w:eastAsia="Calibri"/>
          <w:i/>
          <w:iCs/>
          <w:sz w:val="22"/>
          <w:szCs w:val="22"/>
        </w:rPr>
        <w:t>Kini</w:t>
      </w:r>
      <w:proofErr w:type="spellEnd"/>
      <w:r w:rsidRPr="00472954">
        <w:rPr>
          <w:rFonts w:eastAsia="Calibri"/>
          <w:i/>
          <w:iCs/>
          <w:sz w:val="22"/>
          <w:szCs w:val="22"/>
        </w:rPr>
        <w:t xml:space="preserve">. </w:t>
      </w:r>
      <w:r w:rsidRPr="00472954">
        <w:rPr>
          <w:rFonts w:eastAsia="Calibri"/>
          <w:sz w:val="22"/>
          <w:szCs w:val="22"/>
        </w:rPr>
        <w:t>7(3):  22-29</w:t>
      </w:r>
    </w:p>
    <w:p w14:paraId="390A5E53" w14:textId="77777777" w:rsidR="00472954" w:rsidRPr="00472954" w:rsidRDefault="00472954" w:rsidP="00472954">
      <w:pPr>
        <w:ind w:left="426" w:hanging="426"/>
        <w:jc w:val="both"/>
        <w:rPr>
          <w:rFonts w:eastAsia="Calibri"/>
          <w:sz w:val="22"/>
          <w:szCs w:val="22"/>
        </w:rPr>
      </w:pPr>
      <w:r w:rsidRPr="00472954">
        <w:rPr>
          <w:rFonts w:eastAsia="Calibri"/>
          <w:sz w:val="22"/>
          <w:szCs w:val="22"/>
        </w:rPr>
        <w:t xml:space="preserve">Sari, R.P. (2020).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Faktor</w:t>
      </w:r>
      <w:proofErr w:type="spellEnd"/>
      <w:r w:rsidRPr="00472954">
        <w:rPr>
          <w:rFonts w:eastAsia="Calibri"/>
          <w:sz w:val="22"/>
          <w:szCs w:val="22"/>
        </w:rPr>
        <w:t xml:space="preserve"> Fundamental Makro Dan </w:t>
      </w:r>
      <w:proofErr w:type="spellStart"/>
      <w:r w:rsidRPr="00472954">
        <w:rPr>
          <w:rFonts w:eastAsia="Calibri"/>
          <w:sz w:val="22"/>
          <w:szCs w:val="22"/>
        </w:rPr>
        <w:t>Mikro</w:t>
      </w:r>
      <w:proofErr w:type="spellEnd"/>
      <w:r w:rsidRPr="00472954">
        <w:rPr>
          <w:rFonts w:eastAsia="Calibri"/>
          <w:sz w:val="22"/>
          <w:szCs w:val="22"/>
        </w:rPr>
        <w:t xml:space="preserve"> Perusahaan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Ecoment</w:t>
      </w:r>
      <w:proofErr w:type="spellEnd"/>
      <w:r w:rsidRPr="00472954">
        <w:rPr>
          <w:rFonts w:eastAsia="Calibri"/>
          <w:i/>
          <w:iCs/>
          <w:sz w:val="22"/>
          <w:szCs w:val="22"/>
        </w:rPr>
        <w:t xml:space="preserve"> Global. </w:t>
      </w:r>
      <w:r w:rsidRPr="00472954">
        <w:rPr>
          <w:rFonts w:eastAsia="Calibri"/>
          <w:sz w:val="22"/>
          <w:szCs w:val="22"/>
        </w:rPr>
        <w:t>5(2): 237-250.</w:t>
      </w:r>
    </w:p>
    <w:p w14:paraId="5DD15A1C"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lastRenderedPageBreak/>
        <w:t>Sugiarto</w:t>
      </w:r>
      <w:proofErr w:type="spellEnd"/>
      <w:r w:rsidRPr="00472954">
        <w:rPr>
          <w:rFonts w:eastAsia="Calibri"/>
          <w:sz w:val="22"/>
          <w:szCs w:val="22"/>
        </w:rPr>
        <w:t xml:space="preserve">, M., </w:t>
      </w:r>
      <w:proofErr w:type="spellStart"/>
      <w:r w:rsidRPr="00472954">
        <w:rPr>
          <w:rFonts w:eastAsia="Calibri"/>
          <w:sz w:val="22"/>
          <w:szCs w:val="22"/>
        </w:rPr>
        <w:t>Santosa</w:t>
      </w:r>
      <w:proofErr w:type="spellEnd"/>
      <w:r w:rsidRPr="00472954">
        <w:rPr>
          <w:rFonts w:eastAsia="Calibri"/>
          <w:sz w:val="22"/>
          <w:szCs w:val="22"/>
        </w:rPr>
        <w:t xml:space="preserve">, P.W. (2017).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Indikator</w:t>
      </w:r>
      <w:proofErr w:type="spellEnd"/>
      <w:r w:rsidRPr="00472954">
        <w:rPr>
          <w:rFonts w:eastAsia="Calibri"/>
          <w:sz w:val="22"/>
          <w:szCs w:val="22"/>
        </w:rPr>
        <w:t xml:space="preserve"> Makro Ekonomi, Kinerja </w:t>
      </w:r>
      <w:proofErr w:type="spellStart"/>
      <w:r w:rsidRPr="00472954">
        <w:rPr>
          <w:rFonts w:eastAsia="Calibri"/>
          <w:sz w:val="22"/>
          <w:szCs w:val="22"/>
        </w:rPr>
        <w:t>Keuangan</w:t>
      </w:r>
      <w:proofErr w:type="spellEnd"/>
      <w:r w:rsidRPr="00472954">
        <w:rPr>
          <w:rFonts w:eastAsia="Calibri"/>
          <w:sz w:val="22"/>
          <w:szCs w:val="22"/>
        </w:rPr>
        <w:t xml:space="preserve"> Dan Tata Kelola </w:t>
      </w:r>
      <w:proofErr w:type="spellStart"/>
      <w:r w:rsidRPr="00472954">
        <w:rPr>
          <w:rFonts w:eastAsia="Calibri"/>
          <w:sz w:val="22"/>
          <w:szCs w:val="22"/>
        </w:rPr>
        <w:t>Terhadap</w:t>
      </w:r>
      <w:proofErr w:type="spellEnd"/>
      <w:r w:rsidRPr="00472954">
        <w:rPr>
          <w:rFonts w:eastAsia="Calibri"/>
          <w:sz w:val="22"/>
          <w:szCs w:val="22"/>
        </w:rPr>
        <w:t xml:space="preserve"> Nilai Perusahaan Pada </w:t>
      </w:r>
      <w:proofErr w:type="spellStart"/>
      <w:r w:rsidRPr="00472954">
        <w:rPr>
          <w:rFonts w:eastAsia="Calibri"/>
          <w:sz w:val="22"/>
          <w:szCs w:val="22"/>
        </w:rPr>
        <w:t>Sektor</w:t>
      </w:r>
      <w:proofErr w:type="spellEnd"/>
      <w:r w:rsidRPr="00472954">
        <w:rPr>
          <w:rFonts w:eastAsia="Calibri"/>
          <w:sz w:val="22"/>
          <w:szCs w:val="22"/>
        </w:rPr>
        <w:t xml:space="preserve"> </w:t>
      </w:r>
      <w:proofErr w:type="spellStart"/>
      <w:r w:rsidRPr="00472954">
        <w:rPr>
          <w:rFonts w:eastAsia="Calibri"/>
          <w:sz w:val="22"/>
          <w:szCs w:val="22"/>
        </w:rPr>
        <w:t>Properti</w:t>
      </w:r>
      <w:proofErr w:type="spellEnd"/>
      <w:r w:rsidRPr="00472954">
        <w:rPr>
          <w:rFonts w:eastAsia="Calibri"/>
          <w:sz w:val="22"/>
          <w:szCs w:val="22"/>
        </w:rPr>
        <w:t xml:space="preserve"> Di Bursa </w:t>
      </w:r>
      <w:proofErr w:type="spellStart"/>
      <w:r w:rsidRPr="00472954">
        <w:rPr>
          <w:rFonts w:eastAsia="Calibri"/>
          <w:sz w:val="22"/>
          <w:szCs w:val="22"/>
        </w:rPr>
        <w:t>Efek</w:t>
      </w:r>
      <w:proofErr w:type="spellEnd"/>
      <w:r w:rsidRPr="00472954">
        <w:rPr>
          <w:rFonts w:eastAsia="Calibri"/>
          <w:sz w:val="22"/>
          <w:szCs w:val="22"/>
        </w:rPr>
        <w:t xml:space="preserve"> Indonesia. </w:t>
      </w:r>
      <w:proofErr w:type="spellStart"/>
      <w:r w:rsidRPr="00472954">
        <w:rPr>
          <w:rFonts w:eastAsia="Calibri"/>
          <w:i/>
          <w:iCs/>
          <w:sz w:val="22"/>
          <w:szCs w:val="22"/>
        </w:rPr>
        <w:t>Jornal</w:t>
      </w:r>
      <w:proofErr w:type="spellEnd"/>
      <w:r w:rsidRPr="00472954">
        <w:rPr>
          <w:rFonts w:eastAsia="Calibri"/>
          <w:i/>
          <w:iCs/>
          <w:sz w:val="22"/>
          <w:szCs w:val="22"/>
        </w:rPr>
        <w:t xml:space="preserve"> Of Economics </w:t>
      </w:r>
      <w:proofErr w:type="gramStart"/>
      <w:r w:rsidRPr="00472954">
        <w:rPr>
          <w:rFonts w:eastAsia="Calibri"/>
          <w:i/>
          <w:iCs/>
          <w:sz w:val="22"/>
          <w:szCs w:val="22"/>
        </w:rPr>
        <w:t>And</w:t>
      </w:r>
      <w:proofErr w:type="gramEnd"/>
      <w:r w:rsidRPr="00472954">
        <w:rPr>
          <w:rFonts w:eastAsia="Calibri"/>
          <w:i/>
          <w:iCs/>
          <w:sz w:val="22"/>
          <w:szCs w:val="22"/>
        </w:rPr>
        <w:t xml:space="preserve"> Business </w:t>
      </w:r>
      <w:proofErr w:type="spellStart"/>
      <w:r w:rsidRPr="00472954">
        <w:rPr>
          <w:rFonts w:eastAsia="Calibri"/>
          <w:i/>
          <w:iCs/>
          <w:sz w:val="22"/>
          <w:szCs w:val="22"/>
        </w:rPr>
        <w:t>Aseanomics</w:t>
      </w:r>
      <w:proofErr w:type="spellEnd"/>
      <w:r w:rsidRPr="00472954">
        <w:rPr>
          <w:rFonts w:eastAsia="Calibri"/>
          <w:i/>
          <w:iCs/>
          <w:sz w:val="22"/>
          <w:szCs w:val="22"/>
        </w:rPr>
        <w:t>.</w:t>
      </w:r>
      <w:r w:rsidRPr="00472954">
        <w:rPr>
          <w:rFonts w:eastAsia="Calibri"/>
          <w:sz w:val="22"/>
          <w:szCs w:val="22"/>
        </w:rPr>
        <w:t xml:space="preserve"> 2(2): 288-312.</w:t>
      </w:r>
    </w:p>
    <w:p w14:paraId="437ADAB5"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Sukirno</w:t>
      </w:r>
      <w:proofErr w:type="spellEnd"/>
      <w:r w:rsidRPr="00472954">
        <w:rPr>
          <w:rFonts w:eastAsia="Calibri"/>
          <w:sz w:val="22"/>
          <w:szCs w:val="22"/>
        </w:rPr>
        <w:t xml:space="preserve">, S. (2013). </w:t>
      </w:r>
      <w:r w:rsidRPr="00472954">
        <w:rPr>
          <w:rFonts w:eastAsia="Calibri"/>
          <w:i/>
          <w:iCs/>
          <w:sz w:val="22"/>
          <w:szCs w:val="22"/>
          <w:lang w:val="id-ID"/>
        </w:rPr>
        <w:t>Pengantar Teori Ekonomi Mikro.</w:t>
      </w:r>
      <w:r w:rsidRPr="00472954">
        <w:rPr>
          <w:rFonts w:eastAsia="Calibri"/>
          <w:sz w:val="22"/>
          <w:szCs w:val="22"/>
        </w:rPr>
        <w:t xml:space="preserve"> Jakarta: PT. Raja </w:t>
      </w:r>
      <w:proofErr w:type="spellStart"/>
      <w:r w:rsidRPr="00472954">
        <w:rPr>
          <w:rFonts w:eastAsia="Calibri"/>
          <w:sz w:val="22"/>
          <w:szCs w:val="22"/>
        </w:rPr>
        <w:t>Grafindo</w:t>
      </w:r>
      <w:proofErr w:type="spellEnd"/>
      <w:r w:rsidRPr="00472954">
        <w:rPr>
          <w:rFonts w:eastAsia="Calibri"/>
          <w:sz w:val="22"/>
          <w:szCs w:val="22"/>
        </w:rPr>
        <w:t xml:space="preserve"> </w:t>
      </w:r>
      <w:proofErr w:type="spellStart"/>
      <w:r w:rsidRPr="00472954">
        <w:rPr>
          <w:rFonts w:eastAsia="Calibri"/>
          <w:sz w:val="22"/>
          <w:szCs w:val="22"/>
        </w:rPr>
        <w:t>Persada</w:t>
      </w:r>
      <w:proofErr w:type="spellEnd"/>
      <w:r w:rsidRPr="00472954">
        <w:rPr>
          <w:rFonts w:eastAsia="Calibri"/>
          <w:sz w:val="22"/>
          <w:szCs w:val="22"/>
        </w:rPr>
        <w:t>.</w:t>
      </w:r>
    </w:p>
    <w:p w14:paraId="5B25393B"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Thaharah</w:t>
      </w:r>
      <w:proofErr w:type="spellEnd"/>
      <w:r w:rsidRPr="00472954">
        <w:rPr>
          <w:rFonts w:eastAsia="Calibri"/>
          <w:sz w:val="22"/>
          <w:szCs w:val="22"/>
        </w:rPr>
        <w:t xml:space="preserve">, N. (2016).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Mekanisme</w:t>
      </w:r>
      <w:proofErr w:type="spellEnd"/>
      <w:r w:rsidRPr="00472954">
        <w:rPr>
          <w:rFonts w:eastAsia="Calibri"/>
          <w:sz w:val="22"/>
          <w:szCs w:val="22"/>
        </w:rPr>
        <w:t xml:space="preserve"> Corporate Governance Dan Kinerja </w:t>
      </w:r>
      <w:proofErr w:type="spellStart"/>
      <w:r w:rsidRPr="00472954">
        <w:rPr>
          <w:rFonts w:eastAsia="Calibri"/>
          <w:sz w:val="22"/>
          <w:szCs w:val="22"/>
        </w:rPr>
        <w:t>Keuangan</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Nilai Perusahaan LQ 45.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Ilmu</w:t>
      </w:r>
      <w:proofErr w:type="spellEnd"/>
      <w:r w:rsidRPr="00472954">
        <w:rPr>
          <w:rFonts w:eastAsia="Calibri"/>
          <w:i/>
          <w:iCs/>
          <w:sz w:val="22"/>
          <w:szCs w:val="22"/>
        </w:rPr>
        <w:t xml:space="preserve"> Dan </w:t>
      </w:r>
      <w:proofErr w:type="spellStart"/>
      <w:r w:rsidRPr="00472954">
        <w:rPr>
          <w:rFonts w:eastAsia="Calibri"/>
          <w:i/>
          <w:iCs/>
          <w:sz w:val="22"/>
          <w:szCs w:val="22"/>
        </w:rPr>
        <w:t>Riset</w:t>
      </w:r>
      <w:proofErr w:type="spellEnd"/>
      <w:r w:rsidRPr="00472954">
        <w:rPr>
          <w:rFonts w:eastAsia="Calibri"/>
          <w:i/>
          <w:iCs/>
          <w:sz w:val="22"/>
          <w:szCs w:val="22"/>
        </w:rPr>
        <w:t xml:space="preserve"> </w:t>
      </w:r>
      <w:proofErr w:type="spellStart"/>
      <w:r w:rsidRPr="00472954">
        <w:rPr>
          <w:rFonts w:eastAsia="Calibri"/>
          <w:i/>
          <w:iCs/>
          <w:sz w:val="22"/>
          <w:szCs w:val="22"/>
        </w:rPr>
        <w:t>Akuntansi</w:t>
      </w:r>
      <w:proofErr w:type="spellEnd"/>
      <w:r w:rsidRPr="00472954">
        <w:rPr>
          <w:rFonts w:eastAsia="Calibri"/>
          <w:sz w:val="22"/>
          <w:szCs w:val="22"/>
        </w:rPr>
        <w:t>. 5 (2): 1-18.</w:t>
      </w:r>
    </w:p>
    <w:p w14:paraId="3E11605B" w14:textId="77777777" w:rsidR="00472954" w:rsidRPr="00472954" w:rsidRDefault="00472954" w:rsidP="00472954">
      <w:pPr>
        <w:ind w:left="426" w:hanging="426"/>
        <w:jc w:val="both"/>
        <w:rPr>
          <w:rFonts w:eastAsia="Calibri"/>
          <w:sz w:val="22"/>
          <w:szCs w:val="22"/>
        </w:rPr>
      </w:pPr>
      <w:proofErr w:type="spellStart"/>
      <w:r w:rsidRPr="00472954">
        <w:rPr>
          <w:rFonts w:eastAsia="Calibri"/>
          <w:sz w:val="22"/>
          <w:szCs w:val="22"/>
        </w:rPr>
        <w:t>Utami</w:t>
      </w:r>
      <w:proofErr w:type="spellEnd"/>
      <w:r w:rsidRPr="00472954">
        <w:rPr>
          <w:rFonts w:eastAsia="Calibri"/>
          <w:sz w:val="22"/>
          <w:szCs w:val="22"/>
        </w:rPr>
        <w:t xml:space="preserve">, I. (2019). </w:t>
      </w:r>
      <w:proofErr w:type="spellStart"/>
      <w:r w:rsidRPr="00472954">
        <w:rPr>
          <w:rFonts w:eastAsia="Calibri"/>
          <w:sz w:val="22"/>
          <w:szCs w:val="22"/>
        </w:rPr>
        <w:t>Pengaruh</w:t>
      </w:r>
      <w:proofErr w:type="spellEnd"/>
      <w:r w:rsidRPr="00472954">
        <w:rPr>
          <w:rFonts w:eastAsia="Calibri"/>
          <w:sz w:val="22"/>
          <w:szCs w:val="22"/>
        </w:rPr>
        <w:t xml:space="preserve"> </w:t>
      </w:r>
      <w:proofErr w:type="spellStart"/>
      <w:r w:rsidRPr="00472954">
        <w:rPr>
          <w:rFonts w:eastAsia="Calibri"/>
          <w:sz w:val="22"/>
          <w:szCs w:val="22"/>
        </w:rPr>
        <w:t>Struktur</w:t>
      </w:r>
      <w:proofErr w:type="spellEnd"/>
      <w:r w:rsidRPr="00472954">
        <w:rPr>
          <w:rFonts w:eastAsia="Calibri"/>
          <w:sz w:val="22"/>
          <w:szCs w:val="22"/>
        </w:rPr>
        <w:t xml:space="preserve"> Modal </w:t>
      </w:r>
      <w:proofErr w:type="spellStart"/>
      <w:r w:rsidRPr="00472954">
        <w:rPr>
          <w:rFonts w:eastAsia="Calibri"/>
          <w:sz w:val="22"/>
          <w:szCs w:val="22"/>
        </w:rPr>
        <w:t>Terhadap</w:t>
      </w:r>
      <w:proofErr w:type="spellEnd"/>
      <w:r w:rsidRPr="00472954">
        <w:rPr>
          <w:rFonts w:eastAsia="Calibri"/>
          <w:sz w:val="22"/>
          <w:szCs w:val="22"/>
        </w:rPr>
        <w:t xml:space="preserve"> Nilai Perusahaan (</w:t>
      </w:r>
      <w:proofErr w:type="spellStart"/>
      <w:r w:rsidRPr="00472954">
        <w:rPr>
          <w:rFonts w:eastAsia="Calibri"/>
          <w:sz w:val="22"/>
          <w:szCs w:val="22"/>
        </w:rPr>
        <w:t>Studi</w:t>
      </w:r>
      <w:proofErr w:type="spellEnd"/>
      <w:r w:rsidRPr="00472954">
        <w:rPr>
          <w:rFonts w:eastAsia="Calibri"/>
          <w:sz w:val="22"/>
          <w:szCs w:val="22"/>
        </w:rPr>
        <w:t xml:space="preserve"> </w:t>
      </w:r>
      <w:proofErr w:type="spellStart"/>
      <w:r w:rsidRPr="00472954">
        <w:rPr>
          <w:rFonts w:eastAsia="Calibri"/>
          <w:sz w:val="22"/>
          <w:szCs w:val="22"/>
        </w:rPr>
        <w:t>Kasus</w:t>
      </w:r>
      <w:proofErr w:type="spellEnd"/>
      <w:r w:rsidRPr="00472954">
        <w:rPr>
          <w:rFonts w:eastAsia="Calibri"/>
          <w:sz w:val="22"/>
          <w:szCs w:val="22"/>
        </w:rPr>
        <w:t xml:space="preserve"> </w:t>
      </w:r>
      <w:proofErr w:type="spellStart"/>
      <w:r w:rsidRPr="00472954">
        <w:rPr>
          <w:rFonts w:eastAsia="Calibri"/>
          <w:sz w:val="22"/>
          <w:szCs w:val="22"/>
        </w:rPr>
        <w:t>Terhadap</w:t>
      </w:r>
      <w:proofErr w:type="spellEnd"/>
      <w:r w:rsidRPr="00472954">
        <w:rPr>
          <w:rFonts w:eastAsia="Calibri"/>
          <w:sz w:val="22"/>
          <w:szCs w:val="22"/>
        </w:rPr>
        <w:t xml:space="preserve"> Sub </w:t>
      </w:r>
      <w:proofErr w:type="spellStart"/>
      <w:r w:rsidRPr="00472954">
        <w:rPr>
          <w:rFonts w:eastAsia="Calibri"/>
          <w:sz w:val="22"/>
          <w:szCs w:val="22"/>
        </w:rPr>
        <w:t>Sektor</w:t>
      </w:r>
      <w:proofErr w:type="spellEnd"/>
      <w:r w:rsidRPr="00472954">
        <w:rPr>
          <w:rFonts w:eastAsia="Calibri"/>
          <w:sz w:val="22"/>
          <w:szCs w:val="22"/>
        </w:rPr>
        <w:t xml:space="preserve"> </w:t>
      </w:r>
      <w:proofErr w:type="spellStart"/>
      <w:r w:rsidRPr="00472954">
        <w:rPr>
          <w:rFonts w:eastAsia="Calibri"/>
          <w:sz w:val="22"/>
          <w:szCs w:val="22"/>
        </w:rPr>
        <w:t>Perdagangan</w:t>
      </w:r>
      <w:proofErr w:type="spellEnd"/>
      <w:r w:rsidRPr="00472954">
        <w:rPr>
          <w:rFonts w:eastAsia="Calibri"/>
          <w:sz w:val="22"/>
          <w:szCs w:val="22"/>
        </w:rPr>
        <w:t xml:space="preserve"> </w:t>
      </w:r>
      <w:proofErr w:type="spellStart"/>
      <w:r w:rsidRPr="00472954">
        <w:rPr>
          <w:rFonts w:eastAsia="Calibri"/>
          <w:sz w:val="22"/>
          <w:szCs w:val="22"/>
        </w:rPr>
        <w:t>Eceran</w:t>
      </w:r>
      <w:proofErr w:type="spellEnd"/>
      <w:r w:rsidRPr="00472954">
        <w:rPr>
          <w:rFonts w:eastAsia="Calibri"/>
          <w:sz w:val="22"/>
          <w:szCs w:val="22"/>
        </w:rPr>
        <w:t xml:space="preserve"> Yang </w:t>
      </w:r>
      <w:proofErr w:type="spellStart"/>
      <w:r w:rsidRPr="00472954">
        <w:rPr>
          <w:rFonts w:eastAsia="Calibri"/>
          <w:sz w:val="22"/>
          <w:szCs w:val="22"/>
        </w:rPr>
        <w:t>Terdaftar</w:t>
      </w:r>
      <w:proofErr w:type="spellEnd"/>
      <w:r w:rsidRPr="00472954">
        <w:rPr>
          <w:rFonts w:eastAsia="Calibri"/>
          <w:sz w:val="22"/>
          <w:szCs w:val="22"/>
        </w:rPr>
        <w:t xml:space="preserve"> Di BEI </w:t>
      </w:r>
      <w:proofErr w:type="spellStart"/>
      <w:r w:rsidRPr="00472954">
        <w:rPr>
          <w:rFonts w:eastAsia="Calibri"/>
          <w:sz w:val="22"/>
          <w:szCs w:val="22"/>
        </w:rPr>
        <w:t>Tahun</w:t>
      </w:r>
      <w:proofErr w:type="spellEnd"/>
      <w:r w:rsidRPr="00472954">
        <w:rPr>
          <w:rFonts w:eastAsia="Calibri"/>
          <w:sz w:val="22"/>
          <w:szCs w:val="22"/>
        </w:rPr>
        <w:t xml:space="preserve"> 2011-2015). </w:t>
      </w:r>
      <w:proofErr w:type="spellStart"/>
      <w:r w:rsidRPr="00472954">
        <w:rPr>
          <w:rFonts w:eastAsia="Calibri"/>
          <w:i/>
          <w:iCs/>
          <w:sz w:val="22"/>
          <w:szCs w:val="22"/>
        </w:rPr>
        <w:t>JASa</w:t>
      </w:r>
      <w:proofErr w:type="spellEnd"/>
      <w:r w:rsidRPr="00472954">
        <w:rPr>
          <w:rFonts w:eastAsia="Calibri"/>
          <w:sz w:val="22"/>
          <w:szCs w:val="22"/>
        </w:rPr>
        <w:t>. 3(3): 389-397.</w:t>
      </w:r>
    </w:p>
    <w:p w14:paraId="3BAA4752" w14:textId="77777777" w:rsidR="00472954" w:rsidRPr="00472954" w:rsidRDefault="00472954" w:rsidP="00472954">
      <w:pPr>
        <w:ind w:left="426" w:hanging="426"/>
        <w:jc w:val="both"/>
        <w:rPr>
          <w:rFonts w:eastAsia="Calibri"/>
          <w:sz w:val="22"/>
          <w:szCs w:val="22"/>
        </w:rPr>
      </w:pPr>
      <w:r w:rsidRPr="00472954">
        <w:rPr>
          <w:rFonts w:eastAsia="Calibri"/>
          <w:sz w:val="22"/>
          <w:szCs w:val="22"/>
        </w:rPr>
        <w:t xml:space="preserve">Yusuf. (2020). </w:t>
      </w:r>
      <w:proofErr w:type="spellStart"/>
      <w:r w:rsidRPr="00472954">
        <w:rPr>
          <w:rFonts w:eastAsia="Calibri"/>
          <w:sz w:val="22"/>
          <w:szCs w:val="22"/>
        </w:rPr>
        <w:t>Determinan</w:t>
      </w:r>
      <w:proofErr w:type="spellEnd"/>
      <w:r w:rsidRPr="00472954">
        <w:rPr>
          <w:rFonts w:eastAsia="Calibri"/>
          <w:sz w:val="22"/>
          <w:szCs w:val="22"/>
        </w:rPr>
        <w:t xml:space="preserve"> Nilai Perusahaan </w:t>
      </w:r>
      <w:proofErr w:type="spellStart"/>
      <w:r w:rsidRPr="00472954">
        <w:rPr>
          <w:rFonts w:eastAsia="Calibri"/>
          <w:sz w:val="22"/>
          <w:szCs w:val="22"/>
        </w:rPr>
        <w:t>Verdasarkan</w:t>
      </w:r>
      <w:proofErr w:type="spellEnd"/>
      <w:r w:rsidRPr="00472954">
        <w:rPr>
          <w:rFonts w:eastAsia="Calibri"/>
          <w:sz w:val="22"/>
          <w:szCs w:val="22"/>
        </w:rPr>
        <w:t xml:space="preserve"> </w:t>
      </w:r>
      <w:proofErr w:type="spellStart"/>
      <w:r w:rsidRPr="00472954">
        <w:rPr>
          <w:rFonts w:eastAsia="Calibri"/>
          <w:sz w:val="22"/>
          <w:szCs w:val="22"/>
        </w:rPr>
        <w:t>Kepemilikan</w:t>
      </w:r>
      <w:proofErr w:type="spellEnd"/>
      <w:r w:rsidRPr="00472954">
        <w:rPr>
          <w:rFonts w:eastAsia="Calibri"/>
          <w:sz w:val="22"/>
          <w:szCs w:val="22"/>
        </w:rPr>
        <w:t xml:space="preserve"> Dan </w:t>
      </w:r>
      <w:proofErr w:type="spellStart"/>
      <w:r w:rsidRPr="00472954">
        <w:rPr>
          <w:rFonts w:eastAsia="Calibri"/>
          <w:sz w:val="22"/>
          <w:szCs w:val="22"/>
        </w:rPr>
        <w:t>Aspek</w:t>
      </w:r>
      <w:proofErr w:type="spellEnd"/>
      <w:r w:rsidRPr="00472954">
        <w:rPr>
          <w:rFonts w:eastAsia="Calibri"/>
          <w:sz w:val="22"/>
          <w:szCs w:val="22"/>
        </w:rPr>
        <w:t xml:space="preserve"> Makro Ekonomi.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Manajemen</w:t>
      </w:r>
      <w:proofErr w:type="spellEnd"/>
      <w:r w:rsidRPr="00472954">
        <w:rPr>
          <w:rFonts w:eastAsia="Calibri"/>
          <w:i/>
          <w:iCs/>
          <w:sz w:val="22"/>
          <w:szCs w:val="22"/>
        </w:rPr>
        <w:t xml:space="preserve"> Dan </w:t>
      </w:r>
      <w:proofErr w:type="spellStart"/>
      <w:r w:rsidRPr="00472954">
        <w:rPr>
          <w:rFonts w:eastAsia="Calibri"/>
          <w:i/>
          <w:iCs/>
          <w:sz w:val="22"/>
          <w:szCs w:val="22"/>
        </w:rPr>
        <w:t>Jurnal</w:t>
      </w:r>
      <w:proofErr w:type="spellEnd"/>
      <w:r w:rsidRPr="00472954">
        <w:rPr>
          <w:rFonts w:eastAsia="Calibri"/>
          <w:i/>
          <w:iCs/>
          <w:sz w:val="22"/>
          <w:szCs w:val="22"/>
        </w:rPr>
        <w:t xml:space="preserve"> </w:t>
      </w:r>
      <w:proofErr w:type="spellStart"/>
      <w:r w:rsidRPr="00472954">
        <w:rPr>
          <w:rFonts w:eastAsia="Calibri"/>
          <w:i/>
          <w:iCs/>
          <w:sz w:val="22"/>
          <w:szCs w:val="22"/>
        </w:rPr>
        <w:t>Akuntansi</w:t>
      </w:r>
      <w:proofErr w:type="spellEnd"/>
      <w:r w:rsidRPr="00472954">
        <w:rPr>
          <w:rFonts w:eastAsia="Calibri"/>
          <w:i/>
          <w:iCs/>
          <w:sz w:val="22"/>
          <w:szCs w:val="22"/>
        </w:rPr>
        <w:t>.</w:t>
      </w:r>
      <w:r w:rsidRPr="00472954">
        <w:rPr>
          <w:rFonts w:eastAsia="Calibri"/>
          <w:sz w:val="22"/>
          <w:szCs w:val="22"/>
        </w:rPr>
        <w:t xml:space="preserve"> 5(1): 1-14.</w:t>
      </w:r>
    </w:p>
    <w:p w14:paraId="0E7EDA7A" w14:textId="77777777" w:rsidR="00472954" w:rsidRPr="00472954" w:rsidRDefault="00472954" w:rsidP="00472954">
      <w:pPr>
        <w:ind w:left="426" w:hanging="426"/>
        <w:jc w:val="both"/>
        <w:rPr>
          <w:rFonts w:eastAsia="Calibri"/>
          <w:sz w:val="22"/>
          <w:szCs w:val="22"/>
          <w:lang w:val="id-ID"/>
        </w:rPr>
      </w:pPr>
      <w:r w:rsidRPr="00472954">
        <w:rPr>
          <w:rFonts w:eastAsia="Calibri"/>
          <w:sz w:val="22"/>
          <w:szCs w:val="22"/>
        </w:rPr>
        <w:t xml:space="preserve">Zulfikar. (2016). </w:t>
      </w:r>
      <w:proofErr w:type="spellStart"/>
      <w:r w:rsidRPr="00472954">
        <w:rPr>
          <w:rFonts w:eastAsia="Calibri"/>
          <w:i/>
          <w:iCs/>
          <w:sz w:val="22"/>
          <w:szCs w:val="22"/>
        </w:rPr>
        <w:t>Pengantar</w:t>
      </w:r>
      <w:proofErr w:type="spellEnd"/>
      <w:r w:rsidRPr="00472954">
        <w:rPr>
          <w:rFonts w:eastAsia="Calibri"/>
          <w:i/>
          <w:iCs/>
          <w:sz w:val="22"/>
          <w:szCs w:val="22"/>
        </w:rPr>
        <w:t xml:space="preserve"> Pasar Modal </w:t>
      </w:r>
      <w:proofErr w:type="spellStart"/>
      <w:r w:rsidRPr="00472954">
        <w:rPr>
          <w:rFonts w:eastAsia="Calibri"/>
          <w:i/>
          <w:iCs/>
          <w:sz w:val="22"/>
          <w:szCs w:val="22"/>
        </w:rPr>
        <w:t>Dengan</w:t>
      </w:r>
      <w:proofErr w:type="spellEnd"/>
      <w:r w:rsidRPr="00472954">
        <w:rPr>
          <w:rFonts w:eastAsia="Calibri"/>
          <w:i/>
          <w:iCs/>
          <w:sz w:val="22"/>
          <w:szCs w:val="22"/>
        </w:rPr>
        <w:t xml:space="preserve"> </w:t>
      </w:r>
      <w:proofErr w:type="spellStart"/>
      <w:r w:rsidRPr="00472954">
        <w:rPr>
          <w:rFonts w:eastAsia="Calibri"/>
          <w:i/>
          <w:iCs/>
          <w:sz w:val="22"/>
          <w:szCs w:val="22"/>
        </w:rPr>
        <w:t>Pendekatan</w:t>
      </w:r>
      <w:proofErr w:type="spellEnd"/>
      <w:r w:rsidRPr="00472954">
        <w:rPr>
          <w:rFonts w:eastAsia="Calibri"/>
          <w:i/>
          <w:iCs/>
          <w:sz w:val="22"/>
          <w:szCs w:val="22"/>
        </w:rPr>
        <w:t xml:space="preserve"> </w:t>
      </w:r>
      <w:proofErr w:type="spellStart"/>
      <w:r w:rsidRPr="00472954">
        <w:rPr>
          <w:rFonts w:eastAsia="Calibri"/>
          <w:i/>
          <w:iCs/>
          <w:sz w:val="22"/>
          <w:szCs w:val="22"/>
        </w:rPr>
        <w:t>Statistika</w:t>
      </w:r>
      <w:proofErr w:type="spellEnd"/>
      <w:r w:rsidRPr="00472954">
        <w:rPr>
          <w:rFonts w:eastAsia="Calibri"/>
          <w:sz w:val="22"/>
          <w:szCs w:val="22"/>
        </w:rPr>
        <w:t>. (</w:t>
      </w:r>
      <w:proofErr w:type="spellStart"/>
      <w:proofErr w:type="gramStart"/>
      <w:r w:rsidRPr="00472954">
        <w:rPr>
          <w:rFonts w:eastAsia="Calibri"/>
          <w:sz w:val="22"/>
          <w:szCs w:val="22"/>
        </w:rPr>
        <w:t>jilid</w:t>
      </w:r>
      <w:proofErr w:type="spellEnd"/>
      <w:proofErr w:type="gramEnd"/>
      <w:r w:rsidRPr="00472954">
        <w:rPr>
          <w:rFonts w:eastAsia="Calibri"/>
          <w:sz w:val="22"/>
          <w:szCs w:val="22"/>
        </w:rPr>
        <w:t xml:space="preserve"> 1). Yogyakarta: CV. Budi Utama.</w:t>
      </w:r>
    </w:p>
    <w:p w14:paraId="745D68A3" w14:textId="77777777" w:rsidR="00F41C66" w:rsidRPr="00020CCF" w:rsidRDefault="00F41C66" w:rsidP="008A398D">
      <w:pPr>
        <w:spacing w:after="120"/>
        <w:jc w:val="both"/>
        <w:rPr>
          <w:szCs w:val="24"/>
          <w:lang w:val="id-ID"/>
        </w:rPr>
      </w:pPr>
    </w:p>
    <w:p w14:paraId="3E843DBC" w14:textId="77777777" w:rsidR="00F41C66" w:rsidRPr="00020CCF" w:rsidRDefault="00F41C66" w:rsidP="00D73172">
      <w:pPr>
        <w:spacing w:after="120"/>
        <w:ind w:firstLine="360"/>
        <w:jc w:val="both"/>
        <w:rPr>
          <w:szCs w:val="24"/>
        </w:rPr>
      </w:pPr>
    </w:p>
    <w:p w14:paraId="72412D56" w14:textId="77777777" w:rsidR="00482F53" w:rsidRPr="00020CCF" w:rsidRDefault="00482F53" w:rsidP="00D73172">
      <w:pPr>
        <w:spacing w:after="120"/>
        <w:ind w:firstLine="360"/>
        <w:jc w:val="both"/>
        <w:rPr>
          <w:szCs w:val="24"/>
        </w:rPr>
      </w:pPr>
    </w:p>
    <w:p w14:paraId="4975267E"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7BA6" w14:textId="77777777" w:rsidR="007F0851" w:rsidRDefault="007F0851">
      <w:r>
        <w:separator/>
      </w:r>
    </w:p>
  </w:endnote>
  <w:endnote w:type="continuationSeparator" w:id="0">
    <w:p w14:paraId="10099D13" w14:textId="77777777" w:rsidR="007F0851" w:rsidRDefault="007F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1C20"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4FC4DEF3" w14:textId="77777777" w:rsidR="002A01C2" w:rsidRPr="00786076" w:rsidRDefault="007F0851"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B296" w14:textId="77777777" w:rsidR="007F0851" w:rsidRDefault="007F0851">
      <w:r>
        <w:separator/>
      </w:r>
    </w:p>
  </w:footnote>
  <w:footnote w:type="continuationSeparator" w:id="0">
    <w:p w14:paraId="001C7E83" w14:textId="77777777" w:rsidR="007F0851" w:rsidRDefault="007F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4CA5"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11BC05C0"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53545E1"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17C6AC3F"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3BCAA8C1" w14:textId="77777777" w:rsidR="00020CCF" w:rsidRPr="0026733C" w:rsidRDefault="007F0851"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68B8D2F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396560468">
    <w:abstractNumId w:val="0"/>
  </w:num>
  <w:num w:numId="2" w16cid:durableId="3553141">
    <w:abstractNumId w:val="3"/>
  </w:num>
  <w:num w:numId="3" w16cid:durableId="1002469924">
    <w:abstractNumId w:val="1"/>
  </w:num>
  <w:num w:numId="4" w16cid:durableId="951785054">
    <w:abstractNumId w:val="2"/>
  </w:num>
  <w:num w:numId="5" w16cid:durableId="64768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156806">
    <w:abstractNumId w:val="5"/>
  </w:num>
  <w:num w:numId="7" w16cid:durableId="176522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136193"/>
    <w:rsid w:val="001419FC"/>
    <w:rsid w:val="001B277F"/>
    <w:rsid w:val="001C4E60"/>
    <w:rsid w:val="001D0642"/>
    <w:rsid w:val="001E1874"/>
    <w:rsid w:val="002006E1"/>
    <w:rsid w:val="00201B74"/>
    <w:rsid w:val="00203B5F"/>
    <w:rsid w:val="0021008A"/>
    <w:rsid w:val="00214280"/>
    <w:rsid w:val="00220AAF"/>
    <w:rsid w:val="002241B8"/>
    <w:rsid w:val="002318A5"/>
    <w:rsid w:val="00240055"/>
    <w:rsid w:val="0026234A"/>
    <w:rsid w:val="002E6BBB"/>
    <w:rsid w:val="00307AC7"/>
    <w:rsid w:val="00324AFE"/>
    <w:rsid w:val="00335D3A"/>
    <w:rsid w:val="00336B34"/>
    <w:rsid w:val="003451AD"/>
    <w:rsid w:val="004013F0"/>
    <w:rsid w:val="00450FB7"/>
    <w:rsid w:val="00467D33"/>
    <w:rsid w:val="00472954"/>
    <w:rsid w:val="00482F53"/>
    <w:rsid w:val="00486F2C"/>
    <w:rsid w:val="004A6B49"/>
    <w:rsid w:val="004B7814"/>
    <w:rsid w:val="004C5327"/>
    <w:rsid w:val="00541D2A"/>
    <w:rsid w:val="0057506A"/>
    <w:rsid w:val="00575733"/>
    <w:rsid w:val="00580208"/>
    <w:rsid w:val="005D0CB5"/>
    <w:rsid w:val="005E0159"/>
    <w:rsid w:val="005F6A16"/>
    <w:rsid w:val="006048B8"/>
    <w:rsid w:val="00612CF4"/>
    <w:rsid w:val="006459CF"/>
    <w:rsid w:val="0065308C"/>
    <w:rsid w:val="006636B1"/>
    <w:rsid w:val="00670614"/>
    <w:rsid w:val="006E7EB3"/>
    <w:rsid w:val="00711C4D"/>
    <w:rsid w:val="00713F5B"/>
    <w:rsid w:val="007349A7"/>
    <w:rsid w:val="007432C2"/>
    <w:rsid w:val="00786076"/>
    <w:rsid w:val="007A0CBD"/>
    <w:rsid w:val="007D1129"/>
    <w:rsid w:val="007F0851"/>
    <w:rsid w:val="007F3CF3"/>
    <w:rsid w:val="0080184F"/>
    <w:rsid w:val="00840DC7"/>
    <w:rsid w:val="0084586B"/>
    <w:rsid w:val="00876F86"/>
    <w:rsid w:val="008923B1"/>
    <w:rsid w:val="008964A4"/>
    <w:rsid w:val="008A398D"/>
    <w:rsid w:val="008B6850"/>
    <w:rsid w:val="009243FC"/>
    <w:rsid w:val="009316D9"/>
    <w:rsid w:val="009331BC"/>
    <w:rsid w:val="0095439E"/>
    <w:rsid w:val="00976861"/>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A045"/>
  <w15:docId w15:val="{ED466D4C-D644-7A4F-B3F2-8939A04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2E6BBB"/>
    <w:rPr>
      <w:color w:val="605E5C"/>
      <w:shd w:val="clear" w:color="auto" w:fill="E1DFDD"/>
    </w:rPr>
  </w:style>
  <w:style w:type="table" w:customStyle="1" w:styleId="TableGrid1">
    <w:name w:val="Table Grid1"/>
    <w:basedOn w:val="TableNormal"/>
    <w:next w:val="TableGrid"/>
    <w:uiPriority w:val="59"/>
    <w:rsid w:val="005F6A16"/>
    <w:pPr>
      <w:spacing w:line="240" w:lineRule="auto"/>
    </w:pPr>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40DC7"/>
    <w:pPr>
      <w:spacing w:line="240" w:lineRule="auto"/>
    </w:pPr>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0DC7"/>
    <w:pPr>
      <w:spacing w:line="240" w:lineRule="auto"/>
    </w:pPr>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31499052">
      <w:bodyDiv w:val="1"/>
      <w:marLeft w:val="0"/>
      <w:marRight w:val="0"/>
      <w:marTop w:val="0"/>
      <w:marBottom w:val="0"/>
      <w:divBdr>
        <w:top w:val="none" w:sz="0" w:space="0" w:color="auto"/>
        <w:left w:val="none" w:sz="0" w:space="0" w:color="auto"/>
        <w:bottom w:val="none" w:sz="0" w:space="0" w:color="auto"/>
        <w:right w:val="none" w:sz="0" w:space="0" w:color="auto"/>
      </w:divBdr>
      <w:divsChild>
        <w:div w:id="1957634720">
          <w:marLeft w:val="0"/>
          <w:marRight w:val="0"/>
          <w:marTop w:val="0"/>
          <w:marBottom w:val="0"/>
          <w:divBdr>
            <w:top w:val="none" w:sz="0" w:space="0" w:color="auto"/>
            <w:left w:val="none" w:sz="0" w:space="0" w:color="auto"/>
            <w:bottom w:val="none" w:sz="0" w:space="0" w:color="auto"/>
            <w:right w:val="none" w:sz="0" w:space="0" w:color="auto"/>
          </w:divBdr>
        </w:div>
        <w:div w:id="166753155">
          <w:marLeft w:val="0"/>
          <w:marRight w:val="0"/>
          <w:marTop w:val="0"/>
          <w:marBottom w:val="0"/>
          <w:divBdr>
            <w:top w:val="none" w:sz="0" w:space="0" w:color="auto"/>
            <w:left w:val="none" w:sz="0" w:space="0" w:color="auto"/>
            <w:bottom w:val="none" w:sz="0" w:space="0" w:color="auto"/>
            <w:right w:val="none" w:sz="0" w:space="0" w:color="auto"/>
          </w:divBdr>
          <w:divsChild>
            <w:div w:id="721095205">
              <w:marLeft w:val="0"/>
              <w:marRight w:val="165"/>
              <w:marTop w:val="150"/>
              <w:marBottom w:val="0"/>
              <w:divBdr>
                <w:top w:val="none" w:sz="0" w:space="0" w:color="auto"/>
                <w:left w:val="none" w:sz="0" w:space="0" w:color="auto"/>
                <w:bottom w:val="none" w:sz="0" w:space="0" w:color="auto"/>
                <w:right w:val="none" w:sz="0" w:space="0" w:color="auto"/>
              </w:divBdr>
              <w:divsChild>
                <w:div w:id="414521277">
                  <w:marLeft w:val="0"/>
                  <w:marRight w:val="0"/>
                  <w:marTop w:val="0"/>
                  <w:marBottom w:val="0"/>
                  <w:divBdr>
                    <w:top w:val="none" w:sz="0" w:space="0" w:color="auto"/>
                    <w:left w:val="none" w:sz="0" w:space="0" w:color="auto"/>
                    <w:bottom w:val="none" w:sz="0" w:space="0" w:color="auto"/>
                    <w:right w:val="none" w:sz="0" w:space="0" w:color="auto"/>
                  </w:divBdr>
                  <w:divsChild>
                    <w:div w:id="1454472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1018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2012902887">
      <w:bodyDiv w:val="1"/>
      <w:marLeft w:val="0"/>
      <w:marRight w:val="0"/>
      <w:marTop w:val="0"/>
      <w:marBottom w:val="0"/>
      <w:divBdr>
        <w:top w:val="none" w:sz="0" w:space="0" w:color="auto"/>
        <w:left w:val="none" w:sz="0" w:space="0" w:color="auto"/>
        <w:bottom w:val="none" w:sz="0" w:space="0" w:color="auto"/>
        <w:right w:val="none" w:sz="0" w:space="0" w:color="auto"/>
      </w:divBdr>
      <w:divsChild>
        <w:div w:id="502666349">
          <w:marLeft w:val="0"/>
          <w:marRight w:val="0"/>
          <w:marTop w:val="0"/>
          <w:marBottom w:val="0"/>
          <w:divBdr>
            <w:top w:val="none" w:sz="0" w:space="0" w:color="auto"/>
            <w:left w:val="none" w:sz="0" w:space="0" w:color="auto"/>
            <w:bottom w:val="none" w:sz="0" w:space="0" w:color="auto"/>
            <w:right w:val="none" w:sz="0" w:space="0" w:color="auto"/>
          </w:divBdr>
        </w:div>
        <w:div w:id="1557929612">
          <w:marLeft w:val="0"/>
          <w:marRight w:val="0"/>
          <w:marTop w:val="0"/>
          <w:marBottom w:val="0"/>
          <w:divBdr>
            <w:top w:val="none" w:sz="0" w:space="0" w:color="auto"/>
            <w:left w:val="none" w:sz="0" w:space="0" w:color="auto"/>
            <w:bottom w:val="none" w:sz="0" w:space="0" w:color="auto"/>
            <w:right w:val="none" w:sz="0" w:space="0" w:color="auto"/>
          </w:divBdr>
          <w:divsChild>
            <w:div w:id="1095596690">
              <w:marLeft w:val="0"/>
              <w:marRight w:val="165"/>
              <w:marTop w:val="150"/>
              <w:marBottom w:val="0"/>
              <w:divBdr>
                <w:top w:val="none" w:sz="0" w:space="0" w:color="auto"/>
                <w:left w:val="none" w:sz="0" w:space="0" w:color="auto"/>
                <w:bottom w:val="none" w:sz="0" w:space="0" w:color="auto"/>
                <w:right w:val="none" w:sz="0" w:space="0" w:color="auto"/>
              </w:divBdr>
              <w:divsChild>
                <w:div w:id="850920323">
                  <w:marLeft w:val="0"/>
                  <w:marRight w:val="0"/>
                  <w:marTop w:val="0"/>
                  <w:marBottom w:val="0"/>
                  <w:divBdr>
                    <w:top w:val="none" w:sz="0" w:space="0" w:color="auto"/>
                    <w:left w:val="none" w:sz="0" w:space="0" w:color="auto"/>
                    <w:bottom w:val="none" w:sz="0" w:space="0" w:color="auto"/>
                    <w:right w:val="none" w:sz="0" w:space="0" w:color="auto"/>
                  </w:divBdr>
                  <w:divsChild>
                    <w:div w:id="8863364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787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jiendah@uin-malang.ac.id" TargetMode="External"/><Relationship Id="rId13" Type="http://schemas.openxmlformats.org/officeDocument/2006/relationships/hyperlink" Target="https://www.trenasia.com/industri-otomotif-menggeliat-penjualan-mobil-meningkat-4398-per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irto.id/arti-resesi-ekonomi-penyebab-dampak-ciri-negara-yang-mengalami-f2ww"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Kuartal I</c:v>
                </c:pt>
                <c:pt idx="1">
                  <c:v>Kuartal II</c:v>
                </c:pt>
                <c:pt idx="2">
                  <c:v>Kuartal III</c:v>
                </c:pt>
                <c:pt idx="3">
                  <c:v>Kuartal IV</c:v>
                </c:pt>
              </c:strCache>
            </c:strRef>
          </c:cat>
          <c:val>
            <c:numRef>
              <c:f>Sheet1!$B$2:$B$5</c:f>
              <c:numCache>
                <c:formatCode>General</c:formatCode>
                <c:ptCount val="4"/>
                <c:pt idx="0">
                  <c:v>2.97</c:v>
                </c:pt>
                <c:pt idx="1">
                  <c:v>-5.32</c:v>
                </c:pt>
                <c:pt idx="2">
                  <c:v>-3.49</c:v>
                </c:pt>
                <c:pt idx="3">
                  <c:v>-0.9</c:v>
                </c:pt>
              </c:numCache>
            </c:numRef>
          </c:val>
          <c:extLst>
            <c:ext xmlns:c16="http://schemas.microsoft.com/office/drawing/2014/chart" uri="{C3380CC4-5D6E-409C-BE32-E72D297353CC}">
              <c16:uniqueId val="{00000000-A9AD-3642-A1B2-64EF1443AB58}"/>
            </c:ext>
          </c:extLst>
        </c:ser>
        <c:dLbls>
          <c:showLegendKey val="0"/>
          <c:showVal val="0"/>
          <c:showCatName val="0"/>
          <c:showSerName val="0"/>
          <c:showPercent val="0"/>
          <c:showBubbleSize val="0"/>
        </c:dLbls>
        <c:gapWidth val="95"/>
        <c:overlap val="100"/>
        <c:axId val="134358912"/>
        <c:axId val="134360448"/>
      </c:barChart>
      <c:catAx>
        <c:axId val="134358912"/>
        <c:scaling>
          <c:orientation val="minMax"/>
        </c:scaling>
        <c:delete val="0"/>
        <c:axPos val="b"/>
        <c:numFmt formatCode="General" sourceLinked="0"/>
        <c:majorTickMark val="none"/>
        <c:minorTickMark val="none"/>
        <c:tickLblPos val="nextTo"/>
        <c:crossAx val="134360448"/>
        <c:crossesAt val="0"/>
        <c:auto val="1"/>
        <c:lblAlgn val="ctr"/>
        <c:lblOffset val="100"/>
        <c:noMultiLvlLbl val="0"/>
      </c:catAx>
      <c:valAx>
        <c:axId val="134360448"/>
        <c:scaling>
          <c:orientation val="minMax"/>
        </c:scaling>
        <c:delete val="0"/>
        <c:axPos val="l"/>
        <c:majorGridlines/>
        <c:numFmt formatCode="General" sourceLinked="1"/>
        <c:majorTickMark val="none"/>
        <c:minorTickMark val="none"/>
        <c:tickLblPos val="nextTo"/>
        <c:crossAx val="134358912"/>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puji purnamasari</cp:lastModifiedBy>
  <cp:revision>3</cp:revision>
  <cp:lastPrinted>2017-09-12T03:58:00Z</cp:lastPrinted>
  <dcterms:created xsi:type="dcterms:W3CDTF">2022-11-11T05:23:00Z</dcterms:created>
  <dcterms:modified xsi:type="dcterms:W3CDTF">2022-11-11T13:35:00Z</dcterms:modified>
</cp:coreProperties>
</file>