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3A224C" w14:textId="7FBAD7C9" w:rsidR="00C30C65" w:rsidRDefault="00C30C65" w:rsidP="00C30C65">
      <w:pPr>
        <w:jc w:val="center"/>
        <w:rPr>
          <w:b/>
          <w:bCs/>
          <w:color w:val="0E101A"/>
          <w:szCs w:val="24"/>
          <w:lang w:eastAsia="en-ID"/>
        </w:rPr>
      </w:pPr>
      <w:r w:rsidRPr="00601BE0">
        <w:rPr>
          <w:b/>
          <w:bCs/>
          <w:color w:val="0E101A"/>
          <w:szCs w:val="24"/>
          <w:lang w:eastAsia="en-ID"/>
        </w:rPr>
        <w:t>D</w:t>
      </w:r>
      <w:r>
        <w:rPr>
          <w:b/>
          <w:bCs/>
          <w:color w:val="0E101A"/>
          <w:szCs w:val="24"/>
          <w:lang w:eastAsia="en-ID"/>
        </w:rPr>
        <w:t>ETERMINANTS</w:t>
      </w:r>
      <w:r w:rsidRPr="00601BE0">
        <w:rPr>
          <w:b/>
          <w:bCs/>
          <w:color w:val="0E101A"/>
          <w:szCs w:val="24"/>
          <w:lang w:eastAsia="en-ID"/>
        </w:rPr>
        <w:t xml:space="preserve"> </w:t>
      </w:r>
      <w:r>
        <w:rPr>
          <w:b/>
          <w:bCs/>
          <w:color w:val="0E101A"/>
          <w:szCs w:val="24"/>
          <w:lang w:eastAsia="en-ID"/>
        </w:rPr>
        <w:t>OF NON-PERFORMING LOANS (NPL) IN BANKING COMPANIES LISTED ON THE INDONESIA STOCK EXCHANGE</w:t>
      </w:r>
    </w:p>
    <w:p w14:paraId="63CDCBB1" w14:textId="77777777" w:rsidR="00D73172" w:rsidRDefault="00D73172" w:rsidP="00D73172">
      <w:pPr>
        <w:jc w:val="center"/>
        <w:rPr>
          <w:b/>
          <w:sz w:val="28"/>
        </w:rPr>
      </w:pPr>
    </w:p>
    <w:p w14:paraId="690C2FC6" w14:textId="58ADA24B" w:rsidR="00D73172" w:rsidRDefault="00DF6BAA" w:rsidP="00D73172">
      <w:pPr>
        <w:jc w:val="center"/>
        <w:rPr>
          <w:b/>
          <w:sz w:val="20"/>
        </w:rPr>
      </w:pPr>
      <w:r>
        <w:rPr>
          <w:b/>
          <w:sz w:val="20"/>
        </w:rPr>
        <w:t>Rani Safitri</w:t>
      </w:r>
      <w:r w:rsidR="00D73172">
        <w:rPr>
          <w:b/>
          <w:sz w:val="20"/>
          <w:vertAlign w:val="superscript"/>
        </w:rPr>
        <w:t>1)</w:t>
      </w:r>
      <w:r>
        <w:rPr>
          <w:b/>
          <w:sz w:val="20"/>
        </w:rPr>
        <w:t>, Isni Andriana</w:t>
      </w:r>
      <w:r w:rsidR="001C4E60">
        <w:rPr>
          <w:b/>
          <w:sz w:val="20"/>
          <w:vertAlign w:val="superscript"/>
        </w:rPr>
        <w:t xml:space="preserve"> </w:t>
      </w:r>
      <w:r w:rsidR="00D73172">
        <w:rPr>
          <w:b/>
          <w:sz w:val="20"/>
          <w:vertAlign w:val="superscript"/>
        </w:rPr>
        <w:t>2)</w:t>
      </w:r>
      <w:r>
        <w:rPr>
          <w:b/>
          <w:sz w:val="20"/>
        </w:rPr>
        <w:t>, Sulastri</w:t>
      </w:r>
      <w:r>
        <w:rPr>
          <w:b/>
          <w:sz w:val="20"/>
          <w:vertAlign w:val="superscript"/>
        </w:rPr>
        <w:t>3)</w:t>
      </w:r>
      <w:r w:rsidR="00D73172">
        <w:rPr>
          <w:b/>
          <w:sz w:val="20"/>
        </w:rPr>
        <w:t xml:space="preserve"> </w:t>
      </w:r>
    </w:p>
    <w:p w14:paraId="38254844" w14:textId="1CF4E252" w:rsidR="00DF6BAA" w:rsidRPr="00DF6BAA" w:rsidRDefault="00DF6BAA" w:rsidP="00486F2C">
      <w:pPr>
        <w:pStyle w:val="PageNumber1"/>
        <w:rPr>
          <w:rFonts w:ascii="Times New Roman" w:hAnsi="Times New Roman"/>
          <w:iCs/>
          <w:sz w:val="20"/>
        </w:rPr>
      </w:pPr>
      <w:r w:rsidRPr="00DF6BAA">
        <w:rPr>
          <w:rFonts w:ascii="Times New Roman" w:hAnsi="Times New Roman"/>
          <w:iCs/>
          <w:sz w:val="20"/>
        </w:rPr>
        <w:t xml:space="preserve">Faculty of Economics, </w:t>
      </w:r>
      <w:proofErr w:type="spellStart"/>
      <w:r w:rsidRPr="00DF6BAA">
        <w:rPr>
          <w:rFonts w:ascii="Times New Roman" w:hAnsi="Times New Roman"/>
          <w:iCs/>
          <w:sz w:val="20"/>
        </w:rPr>
        <w:t>Sriwijaya</w:t>
      </w:r>
      <w:proofErr w:type="spellEnd"/>
      <w:r w:rsidRPr="00DF6BAA">
        <w:rPr>
          <w:rFonts w:ascii="Times New Roman" w:hAnsi="Times New Roman"/>
          <w:iCs/>
          <w:sz w:val="20"/>
        </w:rPr>
        <w:t xml:space="preserve"> University, Palembang, Indonesia</w:t>
      </w:r>
    </w:p>
    <w:p w14:paraId="12978452" w14:textId="5F996F7D" w:rsidR="001C4E60" w:rsidRDefault="004B7814" w:rsidP="00486F2C">
      <w:pPr>
        <w:pStyle w:val="PageNumber1"/>
        <w:rPr>
          <w:rFonts w:ascii="Times New Roman" w:hAnsi="Times New Roman"/>
          <w:i/>
          <w:sz w:val="20"/>
          <w:lang w:val="id-ID"/>
        </w:rPr>
      </w:pPr>
      <w:r w:rsidRPr="00486F2C">
        <w:rPr>
          <w:rFonts w:ascii="Times New Roman" w:hAnsi="Times New Roman"/>
          <w:i/>
          <w:sz w:val="20"/>
          <w:lang w:val="id-ID"/>
        </w:rPr>
        <w:t>E-</w:t>
      </w:r>
      <w:r w:rsidR="00D73172" w:rsidRPr="00486F2C">
        <w:rPr>
          <w:rFonts w:ascii="Times New Roman" w:hAnsi="Times New Roman"/>
          <w:i/>
          <w:sz w:val="20"/>
        </w:rPr>
        <w:t>m</w:t>
      </w:r>
      <w:r w:rsidR="00DF6BAA">
        <w:rPr>
          <w:rFonts w:ascii="Times New Roman" w:hAnsi="Times New Roman"/>
          <w:i/>
          <w:sz w:val="20"/>
        </w:rPr>
        <w:t>ail: ranisftri06@gmail.com</w:t>
      </w:r>
    </w:p>
    <w:p w14:paraId="59BBFB01" w14:textId="77777777" w:rsidR="00D73172" w:rsidRPr="001C4E60" w:rsidRDefault="001C4E60" w:rsidP="00486F2C">
      <w:pPr>
        <w:pStyle w:val="PageNumber1"/>
        <w:rPr>
          <w:rFonts w:ascii="Times New Roman" w:hAnsi="Times New Roman"/>
          <w:i/>
          <w:sz w:val="20"/>
          <w:lang w:val="id-ID"/>
        </w:rPr>
      </w:pPr>
      <w:r>
        <w:rPr>
          <w:rFonts w:ascii="Times New Roman" w:hAnsi="Times New Roman"/>
          <w:i/>
          <w:sz w:val="20"/>
          <w:lang w:val="id-ID"/>
        </w:rPr>
        <w:t xml:space="preserve"> </w:t>
      </w:r>
    </w:p>
    <w:p w14:paraId="1B993E91" w14:textId="77777777" w:rsidR="00D73172" w:rsidRDefault="00D73172" w:rsidP="00D73172">
      <w:pPr>
        <w:rPr>
          <w:b/>
        </w:rPr>
      </w:pPr>
    </w:p>
    <w:p w14:paraId="6101F50D" w14:textId="658303D1" w:rsidR="00D73172" w:rsidRPr="00020CCF" w:rsidRDefault="00D73172" w:rsidP="00A371ED">
      <w:pPr>
        <w:spacing w:after="120"/>
        <w:ind w:left="1418" w:hanging="1418"/>
        <w:jc w:val="both"/>
        <w:rPr>
          <w:b/>
          <w:i/>
          <w:szCs w:val="24"/>
        </w:rPr>
      </w:pPr>
      <w:r w:rsidRPr="00A371ED">
        <w:rPr>
          <w:b/>
          <w:i/>
          <w:iCs/>
          <w:szCs w:val="24"/>
        </w:rPr>
        <w:t>Abstract</w:t>
      </w:r>
      <w:r w:rsidR="00486F2C" w:rsidRPr="00A371ED">
        <w:rPr>
          <w:b/>
          <w:i/>
          <w:iCs/>
          <w:szCs w:val="24"/>
          <w:lang w:val="id-ID"/>
        </w:rPr>
        <w:t>:</w:t>
      </w:r>
      <w:r w:rsidRPr="00020CCF">
        <w:rPr>
          <w:b/>
          <w:i/>
          <w:szCs w:val="24"/>
        </w:rPr>
        <w:t xml:space="preserve"> </w:t>
      </w:r>
      <w:r w:rsidR="00786076">
        <w:rPr>
          <w:b/>
          <w:i/>
          <w:szCs w:val="24"/>
          <w:lang w:val="id-ID"/>
        </w:rPr>
        <w:tab/>
      </w:r>
      <w:r w:rsidR="00A371ED" w:rsidRPr="00A371ED">
        <w:rPr>
          <w:i/>
          <w:iCs/>
          <w:color w:val="0E101A"/>
          <w:szCs w:val="24"/>
          <w:lang w:eastAsia="en-ID"/>
        </w:rPr>
        <w:t xml:space="preserve">This study aims to analyze the factors that influence non-performing loans in banking companies listed on the Indonesian stock exchange. The population in this study are banking companies on the Indonesia Stock Exchange for the period 2018 - 2022 with a total of 150 companies with a total sample of 30 companies. The sampling technique was purposive sampling. The data collection technique uses documentation from financial reports published on the IDX's official website, </w:t>
      </w:r>
      <w:proofErr w:type="spellStart"/>
      <w:r w:rsidR="00A371ED" w:rsidRPr="00A371ED">
        <w:rPr>
          <w:i/>
          <w:iCs/>
          <w:color w:val="0E101A"/>
          <w:szCs w:val="24"/>
          <w:lang w:eastAsia="en-ID"/>
        </w:rPr>
        <w:t>namely</w:t>
      </w:r>
      <w:hyperlink r:id="rId8" w:tgtFrame="_blank" w:history="1">
        <w:r w:rsidR="00A371ED" w:rsidRPr="00A371ED">
          <w:rPr>
            <w:i/>
            <w:iCs/>
            <w:color w:val="4A6EE0"/>
            <w:szCs w:val="24"/>
            <w:u w:val="single"/>
            <w:lang w:eastAsia="en-ID"/>
          </w:rPr>
          <w:t>.idx.co.id.</w:t>
        </w:r>
      </w:hyperlink>
      <w:r w:rsidR="00A371ED" w:rsidRPr="00A371ED">
        <w:rPr>
          <w:i/>
          <w:iCs/>
          <w:color w:val="0E101A"/>
          <w:szCs w:val="24"/>
          <w:lang w:eastAsia="en-ID"/>
        </w:rPr>
        <w:t>The</w:t>
      </w:r>
      <w:proofErr w:type="spellEnd"/>
      <w:r w:rsidR="00A371ED" w:rsidRPr="00A371ED">
        <w:rPr>
          <w:i/>
          <w:iCs/>
          <w:color w:val="0E101A"/>
          <w:szCs w:val="24"/>
          <w:lang w:eastAsia="en-ID"/>
        </w:rPr>
        <w:t xml:space="preserve"> analysis used is multiple linear regression analysis with panel data. The results of this study indicate that the loan-to-deposit ratio</w:t>
      </w:r>
      <w:r w:rsidR="00DF6BAA">
        <w:rPr>
          <w:i/>
          <w:iCs/>
          <w:color w:val="0E101A"/>
          <w:szCs w:val="24"/>
          <w:lang w:eastAsia="en-ID"/>
        </w:rPr>
        <w:t xml:space="preserve"> </w:t>
      </w:r>
      <w:r w:rsidR="00DF6BAA" w:rsidRPr="00A371ED">
        <w:rPr>
          <w:i/>
          <w:iCs/>
          <w:color w:val="0E101A"/>
          <w:szCs w:val="24"/>
          <w:lang w:eastAsia="en-ID"/>
        </w:rPr>
        <w:t xml:space="preserve">have a significant </w:t>
      </w:r>
      <w:r w:rsidR="00DF6BAA">
        <w:rPr>
          <w:i/>
          <w:iCs/>
          <w:color w:val="0E101A"/>
          <w:szCs w:val="24"/>
          <w:lang w:eastAsia="en-ID"/>
        </w:rPr>
        <w:t>posi</w:t>
      </w:r>
      <w:r w:rsidR="00DF6BAA" w:rsidRPr="00A371ED">
        <w:rPr>
          <w:i/>
          <w:iCs/>
          <w:color w:val="0E101A"/>
          <w:szCs w:val="24"/>
          <w:lang w:eastAsia="en-ID"/>
        </w:rPr>
        <w:t xml:space="preserve">tive effect on non-performing loans, </w:t>
      </w:r>
      <w:r w:rsidR="00DF6BAA">
        <w:rPr>
          <w:i/>
          <w:iCs/>
          <w:color w:val="0E101A"/>
          <w:szCs w:val="24"/>
          <w:lang w:eastAsia="en-ID"/>
        </w:rPr>
        <w:t>and</w:t>
      </w:r>
      <w:r w:rsidR="00A371ED" w:rsidRPr="00A371ED">
        <w:rPr>
          <w:i/>
          <w:iCs/>
          <w:color w:val="0E101A"/>
          <w:szCs w:val="24"/>
          <w:lang w:eastAsia="en-ID"/>
        </w:rPr>
        <w:t xml:space="preserve"> capital adequacy ratio have a significant negative effect on non-performing loans, and inflation have no effect on non-performing loans.</w:t>
      </w:r>
    </w:p>
    <w:p w14:paraId="09040130" w14:textId="3E3450E6" w:rsidR="00020CCF" w:rsidRPr="00A371ED" w:rsidRDefault="001D27FC" w:rsidP="00A371ED">
      <w:pPr>
        <w:ind w:left="993"/>
        <w:rPr>
          <w:i/>
          <w:iCs/>
          <w:color w:val="0E101A"/>
          <w:szCs w:val="24"/>
          <w:lang w:eastAsia="en-ID"/>
        </w:rPr>
      </w:pPr>
      <w:r w:rsidRPr="00A371ED">
        <w:rPr>
          <w:i/>
          <w:iCs/>
          <w:szCs w:val="24"/>
        </w:rPr>
        <w:t xml:space="preserve"> </w:t>
      </w:r>
    </w:p>
    <w:p w14:paraId="79AE3ACB" w14:textId="4B790CEB" w:rsidR="00020CCF" w:rsidRPr="00A371ED" w:rsidRDefault="00020CCF" w:rsidP="00786076">
      <w:pPr>
        <w:autoSpaceDE w:val="0"/>
        <w:ind w:left="1440" w:right="14" w:hanging="1440"/>
        <w:jc w:val="both"/>
        <w:rPr>
          <w:i/>
          <w:iCs/>
          <w:szCs w:val="24"/>
          <w:lang w:val="id-ID"/>
        </w:rPr>
      </w:pPr>
      <w:r w:rsidRPr="00020CCF">
        <w:rPr>
          <w:b/>
          <w:i/>
          <w:szCs w:val="24"/>
        </w:rPr>
        <w:t>Keywords:</w:t>
      </w:r>
      <w:r w:rsidRPr="00020CCF">
        <w:rPr>
          <w:b/>
          <w:i/>
          <w:szCs w:val="24"/>
          <w:lang w:val="id-ID"/>
        </w:rPr>
        <w:t xml:space="preserve"> </w:t>
      </w:r>
      <w:r w:rsidR="00786076">
        <w:rPr>
          <w:b/>
          <w:i/>
          <w:szCs w:val="24"/>
          <w:lang w:val="id-ID"/>
        </w:rPr>
        <w:tab/>
      </w:r>
      <w:r w:rsidR="00A371ED" w:rsidRPr="00A371ED">
        <w:rPr>
          <w:i/>
          <w:iCs/>
          <w:color w:val="0E101A"/>
          <w:szCs w:val="24"/>
          <w:lang w:eastAsia="en-ID"/>
        </w:rPr>
        <w:t>Non-Performing Loans, Loan Deposit Ratio, Capital Adequacy Ratio,</w:t>
      </w:r>
      <w:r w:rsidR="00DF6BAA">
        <w:rPr>
          <w:i/>
          <w:iCs/>
          <w:color w:val="0E101A"/>
          <w:szCs w:val="24"/>
          <w:lang w:eastAsia="en-ID"/>
        </w:rPr>
        <w:t xml:space="preserve"> and</w:t>
      </w:r>
      <w:r w:rsidR="00A371ED" w:rsidRPr="00A371ED">
        <w:rPr>
          <w:i/>
          <w:iCs/>
          <w:color w:val="0E101A"/>
          <w:szCs w:val="24"/>
          <w:lang w:eastAsia="en-ID"/>
        </w:rPr>
        <w:t xml:space="preserve"> Inflation</w:t>
      </w:r>
    </w:p>
    <w:p w14:paraId="2C126BF8" w14:textId="77777777" w:rsidR="004B7814" w:rsidRPr="00220AAF" w:rsidRDefault="004B7814" w:rsidP="00486F2C">
      <w:pPr>
        <w:pBdr>
          <w:bottom w:val="single" w:sz="12" w:space="1" w:color="auto"/>
        </w:pBdr>
        <w:autoSpaceDE w:val="0"/>
        <w:spacing w:after="120"/>
        <w:ind w:left="1080" w:right="14" w:hanging="1080"/>
        <w:rPr>
          <w:i/>
          <w:sz w:val="22"/>
          <w:szCs w:val="22"/>
          <w:lang w:val="id-ID"/>
        </w:rPr>
      </w:pPr>
    </w:p>
    <w:p w14:paraId="59C4C410" w14:textId="77777777" w:rsidR="00F41C66" w:rsidRPr="00612CF4" w:rsidRDefault="00F41C66" w:rsidP="00486F2C">
      <w:pPr>
        <w:pBdr>
          <w:bottom w:val="single" w:sz="12" w:space="1" w:color="auto"/>
        </w:pBdr>
        <w:sectPr w:rsidR="00F41C66" w:rsidRPr="00612CF4" w:rsidSect="00786076">
          <w:headerReference w:type="default" r:id="rId9"/>
          <w:footerReference w:type="default" r:id="rId10"/>
          <w:type w:val="continuous"/>
          <w:pgSz w:w="11909" w:h="16834" w:code="9"/>
          <w:pgMar w:top="1418" w:right="1134" w:bottom="1418" w:left="1418" w:header="850" w:footer="850" w:gutter="0"/>
          <w:cols w:space="720"/>
          <w:docGrid w:linePitch="360"/>
        </w:sectPr>
      </w:pPr>
    </w:p>
    <w:p w14:paraId="6CA271C7" w14:textId="77777777" w:rsidR="00486F2C" w:rsidRPr="00486F2C" w:rsidRDefault="00486F2C" w:rsidP="002316D0">
      <w:pPr>
        <w:pStyle w:val="Heading1"/>
        <w:suppressAutoHyphens/>
        <w:spacing w:after="60"/>
        <w:rPr>
          <w:i w:val="0"/>
          <w:sz w:val="22"/>
          <w:szCs w:val="22"/>
        </w:rPr>
      </w:pPr>
    </w:p>
    <w:p w14:paraId="2EF3C293" w14:textId="77777777" w:rsidR="00D73172" w:rsidRPr="00020CCF" w:rsidRDefault="00486F2C" w:rsidP="004B7814">
      <w:pPr>
        <w:pStyle w:val="Heading1"/>
        <w:numPr>
          <w:ilvl w:val="0"/>
          <w:numId w:val="6"/>
        </w:numPr>
        <w:suppressAutoHyphens/>
        <w:spacing w:after="60"/>
        <w:ind w:left="360"/>
        <w:rPr>
          <w:i w:val="0"/>
          <w:sz w:val="24"/>
          <w:szCs w:val="24"/>
        </w:rPr>
      </w:pPr>
      <w:r w:rsidRPr="00020CCF">
        <w:rPr>
          <w:i w:val="0"/>
          <w:sz w:val="24"/>
          <w:szCs w:val="24"/>
          <w:lang w:val="id-ID"/>
        </w:rPr>
        <w:t>Introduction</w:t>
      </w:r>
      <w:r w:rsidR="0095439E" w:rsidRPr="00020CCF">
        <w:rPr>
          <w:i w:val="0"/>
          <w:sz w:val="24"/>
          <w:szCs w:val="24"/>
        </w:rPr>
        <w:t xml:space="preserve"> [Times New Roman 1</w:t>
      </w:r>
      <w:r w:rsidR="0095439E" w:rsidRPr="00020CCF">
        <w:rPr>
          <w:i w:val="0"/>
          <w:sz w:val="24"/>
          <w:szCs w:val="24"/>
          <w:lang w:val="id-ID"/>
        </w:rPr>
        <w:t>2</w:t>
      </w:r>
      <w:r w:rsidR="00D73172" w:rsidRPr="00020CCF">
        <w:rPr>
          <w:i w:val="0"/>
          <w:sz w:val="24"/>
          <w:szCs w:val="24"/>
        </w:rPr>
        <w:t xml:space="preserve"> bold]</w:t>
      </w:r>
    </w:p>
    <w:p w14:paraId="62246486" w14:textId="77777777" w:rsidR="00D372F2" w:rsidRPr="00601BE0" w:rsidRDefault="00D372F2" w:rsidP="00D372F2">
      <w:pPr>
        <w:spacing w:line="276" w:lineRule="auto"/>
        <w:ind w:firstLine="360"/>
        <w:jc w:val="both"/>
        <w:rPr>
          <w:color w:val="0E101A"/>
          <w:szCs w:val="24"/>
          <w:lang w:eastAsia="en-ID"/>
        </w:rPr>
      </w:pPr>
      <w:r w:rsidRPr="00601BE0">
        <w:rPr>
          <w:color w:val="0E101A"/>
          <w:szCs w:val="24"/>
          <w:lang w:eastAsia="en-ID"/>
        </w:rPr>
        <w:t xml:space="preserve">Banking financial institutions have a major influence with the main role of collecting public funds in the form of savings, demand deposits, and time deposits. Then it is distributed back to the community in the form of credit (Putri &amp; </w:t>
      </w:r>
      <w:proofErr w:type="spellStart"/>
      <w:r w:rsidRPr="00601BE0">
        <w:rPr>
          <w:color w:val="0E101A"/>
          <w:szCs w:val="24"/>
          <w:lang w:eastAsia="en-ID"/>
        </w:rPr>
        <w:t>Pohan</w:t>
      </w:r>
      <w:proofErr w:type="spellEnd"/>
      <w:r w:rsidRPr="00601BE0">
        <w:rPr>
          <w:color w:val="0E101A"/>
          <w:szCs w:val="24"/>
          <w:lang w:eastAsia="en-ID"/>
        </w:rPr>
        <w:t xml:space="preserve">, 2022). Lending can pose a sizable risk that will be faced by banks because large credit distribution can lead to non-performing loans. </w:t>
      </w:r>
      <w:proofErr w:type="gramStart"/>
      <w:r w:rsidRPr="00601BE0">
        <w:rPr>
          <w:color w:val="0E101A"/>
          <w:szCs w:val="24"/>
          <w:lang w:eastAsia="en-ID"/>
        </w:rPr>
        <w:t>Thus</w:t>
      </w:r>
      <w:proofErr w:type="gramEnd"/>
      <w:r w:rsidRPr="00601BE0">
        <w:rPr>
          <w:color w:val="0E101A"/>
          <w:szCs w:val="24"/>
          <w:lang w:eastAsia="en-ID"/>
        </w:rPr>
        <w:t xml:space="preserve"> banks need to be careful in managing their funds in the form of credit (</w:t>
      </w:r>
      <w:proofErr w:type="spellStart"/>
      <w:r w:rsidRPr="00601BE0">
        <w:rPr>
          <w:color w:val="0E101A"/>
          <w:szCs w:val="24"/>
          <w:lang w:eastAsia="en-ID"/>
        </w:rPr>
        <w:t>Yuzevin</w:t>
      </w:r>
      <w:proofErr w:type="spellEnd"/>
      <w:r w:rsidRPr="00601BE0">
        <w:rPr>
          <w:color w:val="0E101A"/>
          <w:szCs w:val="24"/>
          <w:lang w:eastAsia="en-ID"/>
        </w:rPr>
        <w:t>, et al, 2021). Distributed loans have a percentage of 70% to 80% of the total business volume owned by customers (Fairuz, et al, 2023).</w:t>
      </w:r>
    </w:p>
    <w:p w14:paraId="2931569A" w14:textId="77777777" w:rsidR="00D372F2" w:rsidRDefault="00D372F2" w:rsidP="00D372F2">
      <w:pPr>
        <w:spacing w:line="276" w:lineRule="auto"/>
        <w:ind w:firstLine="360"/>
        <w:jc w:val="both"/>
        <w:rPr>
          <w:color w:val="0E101A"/>
          <w:szCs w:val="24"/>
          <w:lang w:eastAsia="en-ID"/>
        </w:rPr>
      </w:pPr>
      <w:r w:rsidRPr="00601BE0">
        <w:rPr>
          <w:color w:val="0E101A"/>
          <w:szCs w:val="24"/>
          <w:lang w:eastAsia="en-ID"/>
        </w:rPr>
        <w:t>The fact is that some of the credit distribution still has a risk. Thus, to overcome payment failures and be able to measure the ability of banks and the soundness of banks in lending decisions, the Non-Performing Loan (NPL) ratio can be used (Akbar, 2022). Loans are declared problematic or Non-Performing Loans when they are categorized in (</w:t>
      </w:r>
      <w:proofErr w:type="spellStart"/>
      <w:r w:rsidRPr="00601BE0">
        <w:rPr>
          <w:color w:val="0E101A"/>
          <w:szCs w:val="24"/>
          <w:lang w:eastAsia="en-ID"/>
        </w:rPr>
        <w:t>collectibility</w:t>
      </w:r>
      <w:proofErr w:type="spellEnd"/>
      <w:r w:rsidRPr="00601BE0">
        <w:rPr>
          <w:color w:val="0E101A"/>
          <w:szCs w:val="24"/>
          <w:lang w:eastAsia="en-ID"/>
        </w:rPr>
        <w:t xml:space="preserve"> 3) substandard loans, (</w:t>
      </w:r>
      <w:proofErr w:type="spellStart"/>
      <w:r w:rsidRPr="00601BE0">
        <w:rPr>
          <w:color w:val="0E101A"/>
          <w:szCs w:val="24"/>
          <w:lang w:eastAsia="en-ID"/>
        </w:rPr>
        <w:t>collectibility</w:t>
      </w:r>
      <w:proofErr w:type="spellEnd"/>
      <w:r w:rsidRPr="00601BE0">
        <w:rPr>
          <w:color w:val="0E101A"/>
          <w:szCs w:val="24"/>
          <w:lang w:eastAsia="en-ID"/>
        </w:rPr>
        <w:t xml:space="preserve"> 4) doubtful loans, and (</w:t>
      </w:r>
      <w:proofErr w:type="spellStart"/>
      <w:r w:rsidRPr="00601BE0">
        <w:rPr>
          <w:color w:val="0E101A"/>
          <w:szCs w:val="24"/>
          <w:lang w:eastAsia="en-ID"/>
        </w:rPr>
        <w:t>collectibility</w:t>
      </w:r>
      <w:proofErr w:type="spellEnd"/>
      <w:r w:rsidRPr="00601BE0">
        <w:rPr>
          <w:color w:val="0E101A"/>
          <w:szCs w:val="24"/>
          <w:lang w:eastAsia="en-ID"/>
        </w:rPr>
        <w:t xml:space="preserve"> 5) bad loans (Suryani &amp; Africa, 2021). NPL is determined by the bank to the debtor if the debtor has not been able to pay the obligations that have been scheduled for up to 90 days (Bholat et al., 2016). The following is a graph of Non-Performing Loans in banking in the period 2018 – 2022:</w:t>
      </w:r>
    </w:p>
    <w:p w14:paraId="64D41754" w14:textId="77777777" w:rsidR="00D372F2" w:rsidRDefault="00D372F2" w:rsidP="00D372F2">
      <w:pPr>
        <w:spacing w:line="276" w:lineRule="auto"/>
        <w:ind w:firstLine="360"/>
        <w:jc w:val="center"/>
        <w:rPr>
          <w:color w:val="0E101A"/>
          <w:szCs w:val="24"/>
          <w:lang w:eastAsia="en-ID"/>
        </w:rPr>
      </w:pPr>
      <w:r>
        <w:rPr>
          <w:noProof/>
        </w:rPr>
        <w:lastRenderedPageBreak/>
        <w:drawing>
          <wp:inline distT="0" distB="0" distL="0" distR="0" wp14:anchorId="5947EF05" wp14:editId="5F2FE488">
            <wp:extent cx="3861568" cy="2264735"/>
            <wp:effectExtent l="0" t="0" r="5715" b="2540"/>
            <wp:docPr id="13636995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94268" cy="2283913"/>
                    </a:xfrm>
                    <a:prstGeom prst="rect">
                      <a:avLst/>
                    </a:prstGeom>
                    <a:noFill/>
                    <a:ln>
                      <a:noFill/>
                    </a:ln>
                  </pic:spPr>
                </pic:pic>
              </a:graphicData>
            </a:graphic>
          </wp:inline>
        </w:drawing>
      </w:r>
    </w:p>
    <w:p w14:paraId="239E668B" w14:textId="0E00C3DC" w:rsidR="00D372F2" w:rsidRPr="00601BE0" w:rsidRDefault="00D372F2" w:rsidP="00D372F2">
      <w:pPr>
        <w:spacing w:after="240" w:line="276" w:lineRule="auto"/>
        <w:ind w:firstLine="360"/>
        <w:jc w:val="center"/>
        <w:rPr>
          <w:color w:val="0E101A"/>
          <w:szCs w:val="24"/>
          <w:lang w:eastAsia="en-ID"/>
        </w:rPr>
      </w:pPr>
      <w:r>
        <w:rPr>
          <w:color w:val="0E101A"/>
          <w:szCs w:val="24"/>
          <w:lang w:eastAsia="en-ID"/>
        </w:rPr>
        <w:t xml:space="preserve">Fig </w:t>
      </w:r>
      <w:proofErr w:type="gramStart"/>
      <w:r>
        <w:rPr>
          <w:color w:val="0E101A"/>
          <w:szCs w:val="24"/>
          <w:lang w:eastAsia="en-ID"/>
        </w:rPr>
        <w:t>1 :</w:t>
      </w:r>
      <w:proofErr w:type="gramEnd"/>
      <w:r>
        <w:rPr>
          <w:color w:val="0E101A"/>
          <w:szCs w:val="24"/>
          <w:lang w:eastAsia="en-ID"/>
        </w:rPr>
        <w:t xml:space="preserve"> </w:t>
      </w:r>
      <w:r w:rsidRPr="00601BE0">
        <w:rPr>
          <w:color w:val="0E101A"/>
          <w:szCs w:val="24"/>
          <w:lang w:eastAsia="en-ID"/>
        </w:rPr>
        <w:t>graph of Non-Performing Loans</w:t>
      </w:r>
    </w:p>
    <w:p w14:paraId="0ED0972D" w14:textId="77777777" w:rsidR="00D372F2" w:rsidRPr="00601BE0" w:rsidRDefault="00D372F2" w:rsidP="00D372F2">
      <w:pPr>
        <w:spacing w:line="276" w:lineRule="auto"/>
        <w:ind w:firstLine="360"/>
        <w:jc w:val="both"/>
        <w:rPr>
          <w:color w:val="0E101A"/>
          <w:szCs w:val="24"/>
          <w:lang w:eastAsia="en-ID"/>
        </w:rPr>
      </w:pPr>
      <w:r w:rsidRPr="00601BE0">
        <w:rPr>
          <w:color w:val="0E101A"/>
          <w:szCs w:val="24"/>
          <w:lang w:eastAsia="en-ID"/>
        </w:rPr>
        <w:t>Based on the graph above, it can be stated that the ratio of Non-Performing Loans in banks in Indonesia is still in the standard value category. From graphic image 1.1 the growth of non-performing loans from 2018 to 2022, it can be seen that loans disbursed by commercial banks in Indonesia in general have increased from 2018 – 2020 to the highest peak in the NPL value in 2020 of 3.06. This is because in that year there were restrictions on community social activities to reduce the transmission of the coronavirus which had an impact on almost all business sectors. So that this situation makes it difficult for the public or debtors to pay their obligations to the bank due to a decrease in their income due to the Covid-19 pandemic. this ratio is the lowest since pre-pandemic.</w:t>
      </w:r>
    </w:p>
    <w:p w14:paraId="7344410F" w14:textId="77777777" w:rsidR="00D372F2" w:rsidRPr="00601BE0" w:rsidRDefault="00D372F2" w:rsidP="00D372F2">
      <w:pPr>
        <w:spacing w:line="276" w:lineRule="auto"/>
        <w:ind w:firstLine="360"/>
        <w:jc w:val="both"/>
        <w:rPr>
          <w:color w:val="0E101A"/>
          <w:szCs w:val="24"/>
          <w:lang w:eastAsia="en-ID"/>
        </w:rPr>
      </w:pPr>
      <w:r w:rsidRPr="00601BE0">
        <w:rPr>
          <w:color w:val="0E101A"/>
          <w:szCs w:val="24"/>
          <w:lang w:eastAsia="en-ID"/>
        </w:rPr>
        <w:t xml:space="preserve">Reported by news from (Republika.co.id, </w:t>
      </w:r>
      <w:proofErr w:type="gramStart"/>
      <w:r w:rsidRPr="00601BE0">
        <w:rPr>
          <w:color w:val="0E101A"/>
          <w:szCs w:val="24"/>
          <w:lang w:eastAsia="en-ID"/>
        </w:rPr>
        <w:t>2020)Explain</w:t>
      </w:r>
      <w:proofErr w:type="gramEnd"/>
      <w:r w:rsidRPr="00601BE0">
        <w:rPr>
          <w:color w:val="0E101A"/>
          <w:szCs w:val="24"/>
          <w:lang w:eastAsia="en-ID"/>
        </w:rPr>
        <w:t xml:space="preserve"> PT. State Savings Bank (Persero) </w:t>
      </w:r>
      <w:proofErr w:type="spellStart"/>
      <w:r w:rsidRPr="00601BE0">
        <w:rPr>
          <w:color w:val="0E101A"/>
          <w:szCs w:val="24"/>
          <w:lang w:eastAsia="en-ID"/>
        </w:rPr>
        <w:t>Tbk</w:t>
      </w:r>
      <w:proofErr w:type="spellEnd"/>
      <w:r w:rsidRPr="00601BE0">
        <w:rPr>
          <w:color w:val="0E101A"/>
          <w:szCs w:val="24"/>
          <w:lang w:eastAsia="en-ID"/>
        </w:rPr>
        <w:t>, bank (BTN) seeks to reduce the ratio of non-performing loans (NPL) and asset recovery. By selling around 1,282 assets worth IDR 249.28 billion. The assets consist of residential houses, apartments, and commercial properties that are sold as non-productive assets from commercial, consumer, and Sharia loan collateral. The sale of troubled assets was carried out to reduce the NPL value below two percent.</w:t>
      </w:r>
    </w:p>
    <w:p w14:paraId="126AB4C9" w14:textId="74286092" w:rsidR="00D372F2" w:rsidRPr="00601BE0" w:rsidRDefault="00D372F2" w:rsidP="00D372F2">
      <w:pPr>
        <w:spacing w:line="276" w:lineRule="auto"/>
        <w:ind w:firstLine="360"/>
        <w:jc w:val="both"/>
        <w:rPr>
          <w:color w:val="0E101A"/>
          <w:szCs w:val="24"/>
          <w:lang w:eastAsia="en-ID"/>
        </w:rPr>
      </w:pPr>
      <w:r w:rsidRPr="00601BE0">
        <w:rPr>
          <w:color w:val="0E101A"/>
          <w:szCs w:val="24"/>
          <w:lang w:eastAsia="en-ID"/>
        </w:rPr>
        <w:t>There are 3 (three) general factors that cause non-performing loans, namely debtor internal factors, bank internal factors, and non-bank and debtor external factors. The debtor's internal factors include the debtor's age, character, and setbacks in the debtor's business. Bank internal factors may include Capital Adequacy Ratio (CAR), Loan Deposit Ratio (LDR), while non-bank external factor and debtor</w:t>
      </w:r>
      <w:r>
        <w:rPr>
          <w:color w:val="0E101A"/>
          <w:szCs w:val="24"/>
          <w:lang w:eastAsia="en-ID"/>
        </w:rPr>
        <w:t xml:space="preserve"> is </w:t>
      </w:r>
      <w:r w:rsidRPr="00601BE0">
        <w:rPr>
          <w:color w:val="0E101A"/>
          <w:szCs w:val="24"/>
          <w:lang w:eastAsia="en-ID"/>
        </w:rPr>
        <w:t>Inflation, (Barus &amp; Erick, 2016) in research using internal factors of banks and external factor of non-banks and debtors.</w:t>
      </w:r>
    </w:p>
    <w:p w14:paraId="22A643C2" w14:textId="0092D85C" w:rsidR="00D372F2" w:rsidRPr="00601BE0" w:rsidRDefault="00D372F2" w:rsidP="00D372F2">
      <w:pPr>
        <w:spacing w:line="276" w:lineRule="auto"/>
        <w:ind w:firstLine="720"/>
        <w:jc w:val="both"/>
        <w:rPr>
          <w:color w:val="0E101A"/>
          <w:szCs w:val="24"/>
          <w:lang w:eastAsia="en-ID"/>
        </w:rPr>
      </w:pPr>
      <w:r>
        <w:rPr>
          <w:color w:val="0E101A"/>
          <w:szCs w:val="24"/>
          <w:lang w:eastAsia="en-ID"/>
        </w:rPr>
        <w:t>Based on previous research, the r</w:t>
      </w:r>
      <w:r w:rsidRPr="00601BE0">
        <w:rPr>
          <w:color w:val="0E101A"/>
          <w:szCs w:val="24"/>
          <w:lang w:eastAsia="en-ID"/>
        </w:rPr>
        <w:t xml:space="preserve">esearch related to LDR conducted by Wardani &amp; Haryanto (2021), </w:t>
      </w:r>
      <w:proofErr w:type="spellStart"/>
      <w:r w:rsidRPr="00601BE0">
        <w:rPr>
          <w:color w:val="0E101A"/>
          <w:szCs w:val="24"/>
          <w:lang w:eastAsia="en-ID"/>
        </w:rPr>
        <w:t>Ozili</w:t>
      </w:r>
      <w:proofErr w:type="spellEnd"/>
      <w:r w:rsidRPr="00601BE0">
        <w:rPr>
          <w:color w:val="0E101A"/>
          <w:szCs w:val="24"/>
          <w:lang w:eastAsia="en-ID"/>
        </w:rPr>
        <w:t xml:space="preserve">, et al, (2019), and Umar &amp; Sun (2016) states that the LDR coefficient has a significant negative effect on NPL. In contrast to research conducted by </w:t>
      </w:r>
      <w:proofErr w:type="spellStart"/>
      <w:r w:rsidRPr="00601BE0">
        <w:rPr>
          <w:color w:val="0E101A"/>
          <w:szCs w:val="24"/>
          <w:lang w:eastAsia="en-ID"/>
        </w:rPr>
        <w:t>Ruslim</w:t>
      </w:r>
      <w:proofErr w:type="spellEnd"/>
      <w:r w:rsidRPr="00601BE0">
        <w:rPr>
          <w:color w:val="0E101A"/>
          <w:szCs w:val="24"/>
          <w:lang w:eastAsia="en-ID"/>
        </w:rPr>
        <w:t xml:space="preserve"> and </w:t>
      </w:r>
      <w:proofErr w:type="spellStart"/>
      <w:r w:rsidRPr="00601BE0">
        <w:rPr>
          <w:color w:val="0E101A"/>
          <w:szCs w:val="24"/>
          <w:lang w:eastAsia="en-ID"/>
        </w:rPr>
        <w:t>Bengawan</w:t>
      </w:r>
      <w:proofErr w:type="spellEnd"/>
      <w:r w:rsidRPr="00601BE0">
        <w:rPr>
          <w:color w:val="0E101A"/>
          <w:szCs w:val="24"/>
          <w:lang w:eastAsia="en-ID"/>
        </w:rPr>
        <w:t xml:space="preserve"> (2020), Suryani &amp; Africa (2021) showed results that LDR has a significant positive effect on </w:t>
      </w:r>
      <w:r w:rsidRPr="00601BE0">
        <w:rPr>
          <w:color w:val="0E101A"/>
          <w:szCs w:val="24"/>
          <w:lang w:eastAsia="en-ID"/>
        </w:rPr>
        <w:lastRenderedPageBreak/>
        <w:t xml:space="preserve">NPL. Research from Wulandari et al, (2021) and Cahyono &amp; </w:t>
      </w:r>
      <w:proofErr w:type="spellStart"/>
      <w:r w:rsidRPr="00601BE0">
        <w:rPr>
          <w:color w:val="0E101A"/>
          <w:szCs w:val="24"/>
          <w:lang w:eastAsia="en-ID"/>
        </w:rPr>
        <w:t>Suzuda</w:t>
      </w:r>
      <w:proofErr w:type="spellEnd"/>
      <w:r w:rsidRPr="00601BE0">
        <w:rPr>
          <w:color w:val="0E101A"/>
          <w:szCs w:val="24"/>
          <w:lang w:eastAsia="en-ID"/>
        </w:rPr>
        <w:t xml:space="preserve"> (2022) shows that LDR does not affect NPL.</w:t>
      </w:r>
    </w:p>
    <w:p w14:paraId="5F8240EB" w14:textId="1183F000" w:rsidR="00D372F2" w:rsidRPr="00601BE0" w:rsidRDefault="00D372F2" w:rsidP="00D372F2">
      <w:pPr>
        <w:spacing w:line="276" w:lineRule="auto"/>
        <w:ind w:firstLine="720"/>
        <w:jc w:val="both"/>
        <w:rPr>
          <w:color w:val="0E101A"/>
          <w:szCs w:val="24"/>
          <w:lang w:eastAsia="en-ID"/>
        </w:rPr>
      </w:pPr>
      <w:r>
        <w:rPr>
          <w:color w:val="0E101A"/>
          <w:szCs w:val="24"/>
          <w:lang w:eastAsia="en-ID"/>
        </w:rPr>
        <w:t xml:space="preserve">Meanwhile, </w:t>
      </w:r>
      <w:r w:rsidRPr="00601BE0">
        <w:rPr>
          <w:color w:val="0E101A"/>
          <w:szCs w:val="24"/>
          <w:lang w:eastAsia="en-ID"/>
        </w:rPr>
        <w:t xml:space="preserve">Research conducted by Khan, et al (2020), </w:t>
      </w:r>
      <w:proofErr w:type="spellStart"/>
      <w:r w:rsidRPr="00601BE0">
        <w:rPr>
          <w:color w:val="0E101A"/>
          <w:szCs w:val="24"/>
          <w:lang w:eastAsia="en-ID"/>
        </w:rPr>
        <w:t>Isnaini</w:t>
      </w:r>
      <w:proofErr w:type="spellEnd"/>
      <w:r w:rsidRPr="00601BE0">
        <w:rPr>
          <w:color w:val="0E101A"/>
          <w:szCs w:val="24"/>
          <w:lang w:eastAsia="en-ID"/>
        </w:rPr>
        <w:t xml:space="preserve">, et al, (2019), and Suryani &amp; Africa (2021) obtained the result that CAR had a significant negative effect on NPL. In contrast, the results of research from </w:t>
      </w:r>
      <w:proofErr w:type="spellStart"/>
      <w:r w:rsidRPr="00601BE0">
        <w:rPr>
          <w:color w:val="0E101A"/>
          <w:szCs w:val="24"/>
          <w:lang w:eastAsia="en-ID"/>
        </w:rPr>
        <w:t>Ozili</w:t>
      </w:r>
      <w:proofErr w:type="spellEnd"/>
      <w:r w:rsidRPr="00601BE0">
        <w:rPr>
          <w:color w:val="0E101A"/>
          <w:szCs w:val="24"/>
          <w:lang w:eastAsia="en-ID"/>
        </w:rPr>
        <w:t xml:space="preserve">, et al, (2021), CAR has a positive effect on NPL. Research from Rabbani &amp; Dadan (2022), Nurani (2021), and Cahyono &amp; </w:t>
      </w:r>
      <w:proofErr w:type="spellStart"/>
      <w:r w:rsidRPr="00601BE0">
        <w:rPr>
          <w:color w:val="0E101A"/>
          <w:szCs w:val="24"/>
          <w:lang w:eastAsia="en-ID"/>
        </w:rPr>
        <w:t>Suzuda</w:t>
      </w:r>
      <w:proofErr w:type="spellEnd"/>
      <w:r w:rsidRPr="00601BE0">
        <w:rPr>
          <w:color w:val="0E101A"/>
          <w:szCs w:val="24"/>
          <w:lang w:eastAsia="en-ID"/>
        </w:rPr>
        <w:t>, states that CAR affects NPL. Andi, et al, (2023) CAR does not affect NPL.</w:t>
      </w:r>
    </w:p>
    <w:p w14:paraId="39D4CE06" w14:textId="0B1AC24C" w:rsidR="00443A6D" w:rsidRDefault="00D372F2" w:rsidP="00243DE3">
      <w:pPr>
        <w:spacing w:line="276" w:lineRule="auto"/>
        <w:ind w:firstLine="720"/>
        <w:jc w:val="both"/>
        <w:rPr>
          <w:color w:val="0E101A"/>
          <w:szCs w:val="24"/>
          <w:lang w:eastAsia="en-ID"/>
        </w:rPr>
      </w:pPr>
      <w:r w:rsidRPr="00601BE0">
        <w:rPr>
          <w:color w:val="0E101A"/>
          <w:szCs w:val="24"/>
          <w:lang w:eastAsia="en-ID"/>
        </w:rPr>
        <w:t xml:space="preserve">Research from </w:t>
      </w:r>
      <w:proofErr w:type="spellStart"/>
      <w:r w:rsidRPr="00601BE0">
        <w:rPr>
          <w:color w:val="0E101A"/>
          <w:szCs w:val="24"/>
          <w:lang w:eastAsia="en-ID"/>
        </w:rPr>
        <w:t>Harimurti</w:t>
      </w:r>
      <w:proofErr w:type="spellEnd"/>
      <w:r w:rsidRPr="00601BE0">
        <w:rPr>
          <w:color w:val="0E101A"/>
          <w:szCs w:val="24"/>
          <w:lang w:eastAsia="en-ID"/>
        </w:rPr>
        <w:t xml:space="preserve">, et al, (2022), shows that inflation has a significant positive effect on NPLs, this research is supported by </w:t>
      </w:r>
      <w:proofErr w:type="spellStart"/>
      <w:r>
        <w:rPr>
          <w:color w:val="0E101A"/>
          <w:szCs w:val="24"/>
          <w:lang w:eastAsia="en-ID"/>
        </w:rPr>
        <w:t>Mattunruang</w:t>
      </w:r>
      <w:proofErr w:type="spellEnd"/>
      <w:r>
        <w:rPr>
          <w:color w:val="0E101A"/>
          <w:szCs w:val="24"/>
          <w:lang w:eastAsia="en-ID"/>
        </w:rPr>
        <w:t xml:space="preserve">, </w:t>
      </w:r>
      <w:r w:rsidRPr="00601BE0">
        <w:rPr>
          <w:color w:val="0E101A"/>
          <w:szCs w:val="24"/>
          <w:lang w:eastAsia="en-ID"/>
        </w:rPr>
        <w:t xml:space="preserve">(2023). Meanwhile, research by </w:t>
      </w:r>
      <w:proofErr w:type="spellStart"/>
      <w:r w:rsidRPr="00601BE0">
        <w:rPr>
          <w:color w:val="0E101A"/>
          <w:szCs w:val="24"/>
          <w:lang w:eastAsia="en-ID"/>
        </w:rPr>
        <w:t>Mustada</w:t>
      </w:r>
      <w:proofErr w:type="spellEnd"/>
      <w:r w:rsidRPr="00601BE0">
        <w:rPr>
          <w:color w:val="0E101A"/>
          <w:szCs w:val="24"/>
          <w:lang w:eastAsia="en-ID"/>
        </w:rPr>
        <w:t xml:space="preserve"> &amp; </w:t>
      </w:r>
      <w:proofErr w:type="spellStart"/>
      <w:r w:rsidRPr="00601BE0">
        <w:rPr>
          <w:color w:val="0E101A"/>
          <w:szCs w:val="24"/>
          <w:lang w:eastAsia="en-ID"/>
        </w:rPr>
        <w:t>Pramono</w:t>
      </w:r>
      <w:proofErr w:type="spellEnd"/>
      <w:r w:rsidRPr="00601BE0">
        <w:rPr>
          <w:color w:val="0E101A"/>
          <w:szCs w:val="24"/>
          <w:lang w:eastAsia="en-ID"/>
        </w:rPr>
        <w:t xml:space="preserve">, (2022) found that inflation does not affect NPLs. Meanwhile, according to research by </w:t>
      </w:r>
      <w:proofErr w:type="spellStart"/>
      <w:r w:rsidRPr="00601BE0">
        <w:rPr>
          <w:color w:val="0E101A"/>
          <w:szCs w:val="24"/>
          <w:lang w:eastAsia="en-ID"/>
        </w:rPr>
        <w:t>Dewanto</w:t>
      </w:r>
      <w:proofErr w:type="spellEnd"/>
      <w:r w:rsidRPr="00601BE0">
        <w:rPr>
          <w:color w:val="0E101A"/>
          <w:szCs w:val="24"/>
          <w:lang w:eastAsia="en-ID"/>
        </w:rPr>
        <w:t xml:space="preserve"> &amp; </w:t>
      </w:r>
      <w:proofErr w:type="spellStart"/>
      <w:r w:rsidRPr="00601BE0">
        <w:rPr>
          <w:color w:val="0E101A"/>
          <w:szCs w:val="24"/>
          <w:lang w:eastAsia="en-ID"/>
        </w:rPr>
        <w:t>Sudjono</w:t>
      </w:r>
      <w:proofErr w:type="spellEnd"/>
      <w:r w:rsidRPr="00601BE0">
        <w:rPr>
          <w:color w:val="0E101A"/>
          <w:szCs w:val="24"/>
          <w:lang w:eastAsia="en-ID"/>
        </w:rPr>
        <w:t xml:space="preserve">, (2022) and </w:t>
      </w:r>
      <w:proofErr w:type="spellStart"/>
      <w:r w:rsidRPr="00601BE0">
        <w:rPr>
          <w:color w:val="0E101A"/>
          <w:szCs w:val="24"/>
          <w:lang w:eastAsia="en-ID"/>
        </w:rPr>
        <w:t>Kiosevski</w:t>
      </w:r>
      <w:proofErr w:type="spellEnd"/>
      <w:r w:rsidRPr="00601BE0">
        <w:rPr>
          <w:color w:val="0E101A"/>
          <w:szCs w:val="24"/>
          <w:lang w:eastAsia="en-ID"/>
        </w:rPr>
        <w:t xml:space="preserve"> &amp; </w:t>
      </w:r>
      <w:proofErr w:type="spellStart"/>
      <w:r w:rsidRPr="00601BE0">
        <w:rPr>
          <w:color w:val="0E101A"/>
          <w:szCs w:val="24"/>
          <w:lang w:eastAsia="en-ID"/>
        </w:rPr>
        <w:t>Petkoveski</w:t>
      </w:r>
      <w:proofErr w:type="spellEnd"/>
      <w:r w:rsidRPr="00601BE0">
        <w:rPr>
          <w:color w:val="0E101A"/>
          <w:szCs w:val="24"/>
          <w:lang w:eastAsia="en-ID"/>
        </w:rPr>
        <w:t>, (2021) shows that inflation has a significant negative effect on NPL.</w:t>
      </w:r>
    </w:p>
    <w:p w14:paraId="3DE125E1" w14:textId="230A8111" w:rsidR="00243DE3" w:rsidRPr="00243DE3" w:rsidRDefault="00243DE3" w:rsidP="00243DE3">
      <w:pPr>
        <w:spacing w:line="276" w:lineRule="auto"/>
        <w:jc w:val="both"/>
        <w:rPr>
          <w:b/>
          <w:bCs/>
          <w:color w:val="0E101A"/>
          <w:szCs w:val="24"/>
          <w:lang w:eastAsia="en-ID"/>
        </w:rPr>
      </w:pPr>
      <w:r>
        <w:rPr>
          <w:b/>
          <w:bCs/>
          <w:color w:val="0E101A"/>
          <w:szCs w:val="24"/>
          <w:lang w:eastAsia="en-ID"/>
        </w:rPr>
        <w:t xml:space="preserve">2. </w:t>
      </w:r>
      <w:r w:rsidRPr="00243DE3">
        <w:rPr>
          <w:b/>
          <w:bCs/>
          <w:color w:val="0E101A"/>
          <w:szCs w:val="24"/>
          <w:lang w:eastAsia="en-ID"/>
        </w:rPr>
        <w:t>Literature Review</w:t>
      </w:r>
    </w:p>
    <w:p w14:paraId="33F095B8" w14:textId="44905325" w:rsidR="00443A6D" w:rsidRPr="00601BE0" w:rsidRDefault="00243DE3" w:rsidP="00243DE3">
      <w:pPr>
        <w:spacing w:line="276" w:lineRule="auto"/>
        <w:jc w:val="both"/>
        <w:rPr>
          <w:b/>
          <w:bCs/>
          <w:color w:val="0E101A"/>
          <w:szCs w:val="24"/>
          <w:lang w:eastAsia="en-ID"/>
        </w:rPr>
      </w:pPr>
      <w:r>
        <w:rPr>
          <w:b/>
          <w:bCs/>
          <w:color w:val="0E101A"/>
          <w:szCs w:val="24"/>
          <w:lang w:eastAsia="en-ID"/>
        </w:rPr>
        <w:t xml:space="preserve">2.1 </w:t>
      </w:r>
      <w:r w:rsidR="00443A6D" w:rsidRPr="00601BE0">
        <w:rPr>
          <w:b/>
          <w:bCs/>
          <w:color w:val="0E101A"/>
          <w:szCs w:val="24"/>
          <w:lang w:eastAsia="en-ID"/>
        </w:rPr>
        <w:t>agency theory</w:t>
      </w:r>
    </w:p>
    <w:p w14:paraId="2FAC9002" w14:textId="77777777" w:rsidR="00443A6D" w:rsidRPr="00601BE0" w:rsidRDefault="00443A6D" w:rsidP="002316D0">
      <w:pPr>
        <w:spacing w:line="276" w:lineRule="auto"/>
        <w:ind w:firstLine="720"/>
        <w:jc w:val="both"/>
        <w:rPr>
          <w:color w:val="0E101A"/>
          <w:szCs w:val="24"/>
          <w:lang w:eastAsia="en-ID"/>
        </w:rPr>
      </w:pPr>
      <w:r w:rsidRPr="00601BE0">
        <w:rPr>
          <w:color w:val="0E101A"/>
          <w:szCs w:val="24"/>
          <w:lang w:eastAsia="en-ID"/>
        </w:rPr>
        <w:t>Agency theory emerged as a separation between company owners and management. The bigger and more complete a company is, the owner cannot routinely continue to supervise and manage the company, so they ask for help from management to be able to manage the company to make a profit. When the owner chooses a manager to act as manager and make company decisions, then that's when the agency relationship occurs (</w:t>
      </w:r>
      <w:proofErr w:type="spellStart"/>
      <w:r w:rsidRPr="00601BE0">
        <w:rPr>
          <w:color w:val="0E101A"/>
          <w:szCs w:val="24"/>
          <w:lang w:eastAsia="en-ID"/>
        </w:rPr>
        <w:t>Sutedja</w:t>
      </w:r>
      <w:proofErr w:type="spellEnd"/>
      <w:r w:rsidRPr="00601BE0">
        <w:rPr>
          <w:color w:val="0E101A"/>
          <w:szCs w:val="24"/>
          <w:lang w:eastAsia="en-ID"/>
        </w:rPr>
        <w:t xml:space="preserve"> 2016). Managers have more internal information about the condition of the company than the principal, so the manager must be forthright in providing information related to the condition of the company to the owner (Amaliah, 2017).</w:t>
      </w:r>
    </w:p>
    <w:p w14:paraId="74B76E4D" w14:textId="36EC0887" w:rsidR="00443A6D" w:rsidRPr="00A757EC" w:rsidRDefault="00A757EC" w:rsidP="00A757EC">
      <w:pPr>
        <w:spacing w:line="276" w:lineRule="auto"/>
        <w:jc w:val="both"/>
        <w:rPr>
          <w:color w:val="0E101A"/>
          <w:szCs w:val="24"/>
          <w:lang w:eastAsia="en-ID"/>
        </w:rPr>
      </w:pPr>
      <w:r>
        <w:rPr>
          <w:b/>
          <w:bCs/>
          <w:color w:val="0E101A"/>
          <w:szCs w:val="24"/>
          <w:lang w:eastAsia="en-ID"/>
        </w:rPr>
        <w:t xml:space="preserve">3. </w:t>
      </w:r>
      <w:r w:rsidR="00443A6D" w:rsidRPr="00A757EC">
        <w:rPr>
          <w:b/>
          <w:bCs/>
          <w:color w:val="0E101A"/>
          <w:szCs w:val="24"/>
          <w:lang w:eastAsia="en-ID"/>
        </w:rPr>
        <w:t>Research Methodology</w:t>
      </w:r>
    </w:p>
    <w:p w14:paraId="3C0F7802" w14:textId="7CF5335A" w:rsidR="00443A6D" w:rsidRDefault="00443A6D" w:rsidP="00443A6D">
      <w:pPr>
        <w:spacing w:line="276" w:lineRule="auto"/>
        <w:ind w:firstLine="360"/>
        <w:jc w:val="both"/>
        <w:rPr>
          <w:color w:val="0E101A"/>
          <w:szCs w:val="24"/>
          <w:lang w:eastAsia="en-ID"/>
        </w:rPr>
      </w:pPr>
      <w:r w:rsidRPr="00601BE0">
        <w:rPr>
          <w:color w:val="0E101A"/>
          <w:szCs w:val="24"/>
          <w:lang w:eastAsia="en-ID"/>
        </w:rPr>
        <w:t xml:space="preserve">This study uses secondary data obtained from the financial services authorities and Indonesian banks. the research is limited to the influence of the dependent variable namely Loan to Deposit Ratio (LDR), Capital Adequacy Ratio (CAR), and Inflation. As for the independent variable, namely Non-Performing Loans (NPL). The object of research is the sector of banking companies listed on the Indonesian stock exchange. The analysis technique uses multiple linear regression analysis with panel data and </w:t>
      </w:r>
      <w:proofErr w:type="spellStart"/>
      <w:r w:rsidRPr="00601BE0">
        <w:rPr>
          <w:color w:val="0E101A"/>
          <w:szCs w:val="24"/>
          <w:lang w:eastAsia="en-ID"/>
        </w:rPr>
        <w:t>Eviews</w:t>
      </w:r>
      <w:proofErr w:type="spellEnd"/>
      <w:r w:rsidRPr="00601BE0">
        <w:rPr>
          <w:color w:val="0E101A"/>
          <w:szCs w:val="24"/>
          <w:lang w:eastAsia="en-ID"/>
        </w:rPr>
        <w:t xml:space="preserve"> 10 software. </w:t>
      </w:r>
      <w:r w:rsidR="00952E38" w:rsidRPr="00952E38">
        <w:rPr>
          <w:color w:val="0E101A"/>
          <w:szCs w:val="24"/>
          <w:lang w:eastAsia="en-ID"/>
        </w:rPr>
        <w:t>The sample for this study comes from the 2018-2022 banking sector which is listed on the Indonesian stock exchange. The research used purposive sampling for sampling:</w:t>
      </w:r>
    </w:p>
    <w:p w14:paraId="56FE6550" w14:textId="7CCC5794" w:rsidR="00D45EC5" w:rsidRPr="00A757EC" w:rsidRDefault="00D45EC5" w:rsidP="00D45EC5">
      <w:pPr>
        <w:widowControl w:val="0"/>
        <w:autoSpaceDE w:val="0"/>
        <w:autoSpaceDN w:val="0"/>
        <w:jc w:val="center"/>
        <w:outlineLvl w:val="0"/>
        <w:rPr>
          <w:b/>
          <w:bCs/>
          <w:sz w:val="22"/>
          <w:szCs w:val="22"/>
        </w:rPr>
      </w:pPr>
      <w:r w:rsidRPr="00A757EC">
        <w:rPr>
          <w:b/>
          <w:bCs/>
          <w:spacing w:val="-1"/>
          <w:sz w:val="22"/>
          <w:szCs w:val="22"/>
          <w:lang w:val="id"/>
        </w:rPr>
        <w:t>Tab</w:t>
      </w:r>
      <w:r w:rsidR="00A757EC">
        <w:rPr>
          <w:b/>
          <w:bCs/>
          <w:spacing w:val="-1"/>
          <w:sz w:val="22"/>
          <w:szCs w:val="22"/>
        </w:rPr>
        <w:t>le</w:t>
      </w:r>
      <w:r w:rsidRPr="00A757EC">
        <w:rPr>
          <w:b/>
          <w:bCs/>
          <w:spacing w:val="1"/>
          <w:sz w:val="22"/>
          <w:szCs w:val="22"/>
          <w:lang w:val="id"/>
        </w:rPr>
        <w:t xml:space="preserve"> </w:t>
      </w:r>
      <w:r w:rsidRPr="00A757EC">
        <w:rPr>
          <w:b/>
          <w:bCs/>
          <w:sz w:val="22"/>
          <w:szCs w:val="22"/>
          <w:lang w:val="id"/>
        </w:rPr>
        <w:t>3.1</w:t>
      </w:r>
      <w:r w:rsidRPr="00A757EC">
        <w:rPr>
          <w:b/>
          <w:bCs/>
          <w:spacing w:val="1"/>
          <w:sz w:val="22"/>
          <w:szCs w:val="22"/>
          <w:lang w:val="id"/>
        </w:rPr>
        <w:t xml:space="preserve"> </w:t>
      </w:r>
      <w:r w:rsidR="00A757EC">
        <w:rPr>
          <w:b/>
          <w:bCs/>
          <w:sz w:val="22"/>
          <w:szCs w:val="22"/>
        </w:rPr>
        <w:t>Research Sample</w:t>
      </w:r>
    </w:p>
    <w:tbl>
      <w:tblPr>
        <w:tblW w:w="7501" w:type="dxa"/>
        <w:tblInd w:w="296" w:type="dxa"/>
        <w:tblLayout w:type="fixed"/>
        <w:tblCellMar>
          <w:left w:w="0" w:type="dxa"/>
          <w:right w:w="0" w:type="dxa"/>
        </w:tblCellMar>
        <w:tblLook w:val="01E0" w:firstRow="1" w:lastRow="1" w:firstColumn="1" w:lastColumn="1" w:noHBand="0" w:noVBand="0"/>
      </w:tblPr>
      <w:tblGrid>
        <w:gridCol w:w="555"/>
        <w:gridCol w:w="5953"/>
        <w:gridCol w:w="993"/>
      </w:tblGrid>
      <w:tr w:rsidR="00D45EC5" w:rsidRPr="00384DBE" w14:paraId="6099ADBA" w14:textId="77777777" w:rsidTr="0050385F">
        <w:trPr>
          <w:trHeight w:val="345"/>
        </w:trPr>
        <w:tc>
          <w:tcPr>
            <w:tcW w:w="555" w:type="dxa"/>
            <w:tcBorders>
              <w:top w:val="single" w:sz="4" w:space="0" w:color="000000"/>
              <w:bottom w:val="single" w:sz="4" w:space="0" w:color="000000"/>
            </w:tcBorders>
          </w:tcPr>
          <w:p w14:paraId="788182F4" w14:textId="77777777" w:rsidR="00D45EC5" w:rsidRPr="00384DBE" w:rsidRDefault="00D45EC5" w:rsidP="00D45EC5">
            <w:pPr>
              <w:widowControl w:val="0"/>
              <w:autoSpaceDE w:val="0"/>
              <w:autoSpaceDN w:val="0"/>
              <w:rPr>
                <w:b/>
                <w:sz w:val="20"/>
                <w:lang w:val="id"/>
              </w:rPr>
            </w:pPr>
            <w:r w:rsidRPr="00384DBE">
              <w:rPr>
                <w:b/>
                <w:sz w:val="20"/>
                <w:lang w:val="id"/>
              </w:rPr>
              <w:t>No.</w:t>
            </w:r>
          </w:p>
        </w:tc>
        <w:tc>
          <w:tcPr>
            <w:tcW w:w="5953" w:type="dxa"/>
            <w:tcBorders>
              <w:top w:val="single" w:sz="4" w:space="0" w:color="000000"/>
              <w:bottom w:val="single" w:sz="4" w:space="0" w:color="000000"/>
            </w:tcBorders>
          </w:tcPr>
          <w:p w14:paraId="1B89C321" w14:textId="60E3525A" w:rsidR="00D45EC5" w:rsidRPr="00384DBE" w:rsidRDefault="00952E38" w:rsidP="00D45EC5">
            <w:pPr>
              <w:widowControl w:val="0"/>
              <w:autoSpaceDE w:val="0"/>
              <w:autoSpaceDN w:val="0"/>
              <w:ind w:right="2314"/>
              <w:jc w:val="center"/>
              <w:rPr>
                <w:b/>
                <w:sz w:val="20"/>
                <w:lang w:val="id"/>
              </w:rPr>
            </w:pPr>
            <w:r>
              <w:rPr>
                <w:b/>
                <w:sz w:val="20"/>
              </w:rPr>
              <w:t>C</w:t>
            </w:r>
            <w:r w:rsidR="00D45EC5" w:rsidRPr="00384DBE">
              <w:rPr>
                <w:b/>
                <w:sz w:val="20"/>
                <w:lang w:val="id"/>
              </w:rPr>
              <w:t>riteria</w:t>
            </w:r>
          </w:p>
        </w:tc>
        <w:tc>
          <w:tcPr>
            <w:tcW w:w="993" w:type="dxa"/>
            <w:tcBorders>
              <w:top w:val="single" w:sz="4" w:space="0" w:color="000000"/>
              <w:bottom w:val="single" w:sz="4" w:space="0" w:color="000000"/>
            </w:tcBorders>
          </w:tcPr>
          <w:p w14:paraId="0F0F7F77" w14:textId="77777777" w:rsidR="00D45EC5" w:rsidRPr="00384DBE" w:rsidRDefault="00D45EC5" w:rsidP="0050385F">
            <w:pPr>
              <w:widowControl w:val="0"/>
              <w:autoSpaceDE w:val="0"/>
              <w:autoSpaceDN w:val="0"/>
              <w:ind w:right="152"/>
              <w:jc w:val="center"/>
              <w:rPr>
                <w:b/>
                <w:sz w:val="20"/>
                <w:lang w:val="id"/>
              </w:rPr>
            </w:pPr>
            <w:r w:rsidRPr="00384DBE">
              <w:rPr>
                <w:b/>
                <w:sz w:val="20"/>
                <w:lang w:val="id"/>
              </w:rPr>
              <w:t>Jumlah</w:t>
            </w:r>
          </w:p>
        </w:tc>
      </w:tr>
      <w:tr w:rsidR="00D45EC5" w:rsidRPr="00384DBE" w14:paraId="4DF61E6F" w14:textId="77777777" w:rsidTr="0050385F">
        <w:trPr>
          <w:trHeight w:val="547"/>
        </w:trPr>
        <w:tc>
          <w:tcPr>
            <w:tcW w:w="555" w:type="dxa"/>
            <w:tcBorders>
              <w:top w:val="single" w:sz="4" w:space="0" w:color="000000"/>
            </w:tcBorders>
          </w:tcPr>
          <w:p w14:paraId="02AAACF0" w14:textId="77777777" w:rsidR="00D45EC5" w:rsidRPr="00384DBE" w:rsidRDefault="00D45EC5" w:rsidP="00D45EC5">
            <w:pPr>
              <w:widowControl w:val="0"/>
              <w:autoSpaceDE w:val="0"/>
              <w:autoSpaceDN w:val="0"/>
              <w:spacing w:before="3"/>
              <w:rPr>
                <w:lang w:val="id"/>
              </w:rPr>
            </w:pPr>
            <w:r w:rsidRPr="00384DBE">
              <w:rPr>
                <w:lang w:val="id"/>
              </w:rPr>
              <w:t>1.</w:t>
            </w:r>
          </w:p>
        </w:tc>
        <w:tc>
          <w:tcPr>
            <w:tcW w:w="5953" w:type="dxa"/>
            <w:tcBorders>
              <w:top w:val="single" w:sz="4" w:space="0" w:color="000000"/>
            </w:tcBorders>
          </w:tcPr>
          <w:p w14:paraId="68B92A08" w14:textId="21BE8534" w:rsidR="00D45EC5" w:rsidRPr="00952E38" w:rsidRDefault="00952E38" w:rsidP="00D45EC5">
            <w:pPr>
              <w:widowControl w:val="0"/>
              <w:autoSpaceDE w:val="0"/>
              <w:autoSpaceDN w:val="0"/>
              <w:spacing w:before="3"/>
              <w:ind w:right="155"/>
            </w:pPr>
            <w:r w:rsidRPr="00952E38">
              <w:t>Banking companies listed on the Indonesia Stock Exchange 2018 – 2022</w:t>
            </w:r>
          </w:p>
        </w:tc>
        <w:tc>
          <w:tcPr>
            <w:tcW w:w="993" w:type="dxa"/>
            <w:tcBorders>
              <w:top w:val="single" w:sz="4" w:space="0" w:color="000000"/>
            </w:tcBorders>
          </w:tcPr>
          <w:p w14:paraId="228E739D" w14:textId="77777777" w:rsidR="00D45EC5" w:rsidRPr="00384DBE" w:rsidRDefault="00D45EC5" w:rsidP="0050385F">
            <w:pPr>
              <w:widowControl w:val="0"/>
              <w:autoSpaceDE w:val="0"/>
              <w:autoSpaceDN w:val="0"/>
              <w:spacing w:before="3"/>
              <w:ind w:right="152"/>
              <w:jc w:val="center"/>
              <w:rPr>
                <w:lang w:val="id"/>
              </w:rPr>
            </w:pPr>
            <w:r w:rsidRPr="00384DBE">
              <w:rPr>
                <w:lang w:val="id"/>
              </w:rPr>
              <w:t>46</w:t>
            </w:r>
          </w:p>
        </w:tc>
      </w:tr>
      <w:tr w:rsidR="00D45EC5" w:rsidRPr="00384DBE" w14:paraId="15B8DB10" w14:textId="77777777" w:rsidTr="00952E38">
        <w:trPr>
          <w:trHeight w:val="549"/>
        </w:trPr>
        <w:tc>
          <w:tcPr>
            <w:tcW w:w="555" w:type="dxa"/>
          </w:tcPr>
          <w:p w14:paraId="75FA5E57" w14:textId="77777777" w:rsidR="00D45EC5" w:rsidRPr="00384DBE" w:rsidRDefault="00D45EC5" w:rsidP="00D45EC5">
            <w:pPr>
              <w:widowControl w:val="0"/>
              <w:autoSpaceDE w:val="0"/>
              <w:autoSpaceDN w:val="0"/>
              <w:spacing w:before="71"/>
              <w:rPr>
                <w:lang w:val="id"/>
              </w:rPr>
            </w:pPr>
            <w:r>
              <w:t>2</w:t>
            </w:r>
            <w:r w:rsidRPr="00384DBE">
              <w:rPr>
                <w:lang w:val="id"/>
              </w:rPr>
              <w:t>.</w:t>
            </w:r>
          </w:p>
        </w:tc>
        <w:tc>
          <w:tcPr>
            <w:tcW w:w="5953" w:type="dxa"/>
          </w:tcPr>
          <w:p w14:paraId="3C34B5CA" w14:textId="182675DC" w:rsidR="00952E38" w:rsidRDefault="00952E38" w:rsidP="00952E38">
            <w:pPr>
              <w:widowControl w:val="0"/>
              <w:autoSpaceDE w:val="0"/>
              <w:autoSpaceDN w:val="0"/>
            </w:pPr>
            <w:r>
              <w:t>Companies that are not commercial banks</w:t>
            </w:r>
          </w:p>
          <w:p w14:paraId="69338980" w14:textId="4D2ED176" w:rsidR="00D45EC5" w:rsidRPr="00952E38" w:rsidRDefault="00952E38" w:rsidP="00952E38">
            <w:pPr>
              <w:widowControl w:val="0"/>
              <w:autoSpaceDE w:val="0"/>
              <w:autoSpaceDN w:val="0"/>
            </w:pPr>
            <w:r>
              <w:t>conventional during 2018-2022</w:t>
            </w:r>
          </w:p>
        </w:tc>
        <w:tc>
          <w:tcPr>
            <w:tcW w:w="993" w:type="dxa"/>
          </w:tcPr>
          <w:p w14:paraId="792EDBF2" w14:textId="77777777" w:rsidR="00D45EC5" w:rsidRPr="00384DBE" w:rsidRDefault="00D45EC5" w:rsidP="0050385F">
            <w:pPr>
              <w:widowControl w:val="0"/>
              <w:autoSpaceDE w:val="0"/>
              <w:autoSpaceDN w:val="0"/>
              <w:spacing w:before="71"/>
              <w:ind w:right="60"/>
              <w:jc w:val="center"/>
              <w:rPr>
                <w:lang w:val="id"/>
              </w:rPr>
            </w:pPr>
            <w:r w:rsidRPr="00384DBE">
              <w:rPr>
                <w:lang w:val="id"/>
              </w:rPr>
              <w:t>4</w:t>
            </w:r>
          </w:p>
        </w:tc>
      </w:tr>
      <w:tr w:rsidR="00D45EC5" w:rsidRPr="00384DBE" w14:paraId="51DDFB3B" w14:textId="77777777" w:rsidTr="0050385F">
        <w:trPr>
          <w:trHeight w:val="558"/>
        </w:trPr>
        <w:tc>
          <w:tcPr>
            <w:tcW w:w="555" w:type="dxa"/>
            <w:tcBorders>
              <w:bottom w:val="single" w:sz="4" w:space="0" w:color="000000"/>
            </w:tcBorders>
          </w:tcPr>
          <w:p w14:paraId="6FB8A9EF" w14:textId="77777777" w:rsidR="00D45EC5" w:rsidRPr="00384DBE" w:rsidRDefault="00D45EC5" w:rsidP="00D45EC5">
            <w:pPr>
              <w:widowControl w:val="0"/>
              <w:autoSpaceDE w:val="0"/>
              <w:autoSpaceDN w:val="0"/>
              <w:rPr>
                <w:lang w:val="id"/>
              </w:rPr>
            </w:pPr>
            <w:r>
              <w:t>3</w:t>
            </w:r>
            <w:r w:rsidRPr="00384DBE">
              <w:rPr>
                <w:lang w:val="id"/>
              </w:rPr>
              <w:t>.</w:t>
            </w:r>
          </w:p>
          <w:p w14:paraId="1A5C2DB6" w14:textId="77777777" w:rsidR="00D45EC5" w:rsidRPr="00384DBE" w:rsidRDefault="00D45EC5" w:rsidP="00D45EC5">
            <w:pPr>
              <w:widowControl w:val="0"/>
              <w:autoSpaceDE w:val="0"/>
              <w:autoSpaceDN w:val="0"/>
              <w:ind w:right="54"/>
              <w:jc w:val="right"/>
              <w:rPr>
                <w:lang w:val="id"/>
              </w:rPr>
            </w:pPr>
            <w:r w:rsidRPr="00384DBE">
              <w:rPr>
                <w:w w:val="95"/>
                <w:lang w:val="id"/>
              </w:rPr>
              <w:t>.</w:t>
            </w:r>
          </w:p>
        </w:tc>
        <w:tc>
          <w:tcPr>
            <w:tcW w:w="5953" w:type="dxa"/>
            <w:tcBorders>
              <w:bottom w:val="single" w:sz="4" w:space="0" w:color="000000"/>
            </w:tcBorders>
          </w:tcPr>
          <w:p w14:paraId="5D526A92" w14:textId="0711686F" w:rsidR="00D45EC5" w:rsidRPr="00384DBE" w:rsidRDefault="00952E38" w:rsidP="00D45EC5">
            <w:pPr>
              <w:widowControl w:val="0"/>
              <w:autoSpaceDE w:val="0"/>
              <w:autoSpaceDN w:val="0"/>
              <w:ind w:right="284"/>
              <w:rPr>
                <w:lang w:val="id"/>
              </w:rPr>
            </w:pPr>
            <w:r w:rsidRPr="00952E38">
              <w:rPr>
                <w:lang w:val="id"/>
              </w:rPr>
              <w:t>Companies that conducted mergers and acquisitions during 2018-2022</w:t>
            </w:r>
          </w:p>
        </w:tc>
        <w:tc>
          <w:tcPr>
            <w:tcW w:w="993" w:type="dxa"/>
            <w:tcBorders>
              <w:bottom w:val="single" w:sz="4" w:space="0" w:color="000000"/>
            </w:tcBorders>
          </w:tcPr>
          <w:p w14:paraId="3DCF3982" w14:textId="77777777" w:rsidR="00D45EC5" w:rsidRPr="00B420CB" w:rsidRDefault="00D45EC5" w:rsidP="0050385F">
            <w:pPr>
              <w:widowControl w:val="0"/>
              <w:autoSpaceDE w:val="0"/>
              <w:autoSpaceDN w:val="0"/>
              <w:ind w:right="60"/>
              <w:jc w:val="center"/>
            </w:pPr>
            <w:r>
              <w:t>12</w:t>
            </w:r>
          </w:p>
        </w:tc>
      </w:tr>
      <w:tr w:rsidR="00D45EC5" w:rsidRPr="00384DBE" w14:paraId="0EE0CA85" w14:textId="77777777" w:rsidTr="0050385F">
        <w:trPr>
          <w:trHeight w:val="203"/>
        </w:trPr>
        <w:tc>
          <w:tcPr>
            <w:tcW w:w="555" w:type="dxa"/>
            <w:tcBorders>
              <w:top w:val="single" w:sz="4" w:space="0" w:color="000000"/>
            </w:tcBorders>
          </w:tcPr>
          <w:p w14:paraId="4BFBD974" w14:textId="77777777" w:rsidR="00D45EC5" w:rsidRPr="00384DBE" w:rsidRDefault="00D45EC5" w:rsidP="00D45EC5">
            <w:pPr>
              <w:widowControl w:val="0"/>
              <w:autoSpaceDE w:val="0"/>
              <w:autoSpaceDN w:val="0"/>
              <w:rPr>
                <w:lang w:val="id"/>
              </w:rPr>
            </w:pPr>
          </w:p>
        </w:tc>
        <w:tc>
          <w:tcPr>
            <w:tcW w:w="5953" w:type="dxa"/>
            <w:tcBorders>
              <w:top w:val="single" w:sz="4" w:space="0" w:color="000000"/>
            </w:tcBorders>
          </w:tcPr>
          <w:p w14:paraId="17D21ADF" w14:textId="2F87C32A" w:rsidR="00D45EC5" w:rsidRPr="00384DBE" w:rsidRDefault="00952E38" w:rsidP="00D45EC5">
            <w:pPr>
              <w:widowControl w:val="0"/>
              <w:autoSpaceDE w:val="0"/>
              <w:autoSpaceDN w:val="0"/>
              <w:spacing w:before="2"/>
              <w:rPr>
                <w:lang w:val="id"/>
              </w:rPr>
            </w:pPr>
            <w:r w:rsidRPr="00952E38">
              <w:rPr>
                <w:lang w:val="id"/>
              </w:rPr>
              <w:t>number of samples</w:t>
            </w:r>
          </w:p>
        </w:tc>
        <w:tc>
          <w:tcPr>
            <w:tcW w:w="993" w:type="dxa"/>
            <w:tcBorders>
              <w:top w:val="single" w:sz="4" w:space="0" w:color="000000"/>
            </w:tcBorders>
          </w:tcPr>
          <w:p w14:paraId="725DADC8" w14:textId="77777777" w:rsidR="00D45EC5" w:rsidRPr="00124562" w:rsidRDefault="00D45EC5" w:rsidP="0050385F">
            <w:pPr>
              <w:widowControl w:val="0"/>
              <w:autoSpaceDE w:val="0"/>
              <w:autoSpaceDN w:val="0"/>
              <w:spacing w:before="2"/>
              <w:ind w:right="152"/>
              <w:jc w:val="center"/>
            </w:pPr>
            <w:r w:rsidRPr="00384DBE">
              <w:rPr>
                <w:lang w:val="id"/>
              </w:rPr>
              <w:t>3</w:t>
            </w:r>
            <w:r>
              <w:t>0</w:t>
            </w:r>
          </w:p>
        </w:tc>
      </w:tr>
      <w:tr w:rsidR="00D45EC5" w:rsidRPr="00384DBE" w14:paraId="7D890558" w14:textId="77777777" w:rsidTr="002316D0">
        <w:trPr>
          <w:trHeight w:val="394"/>
        </w:trPr>
        <w:tc>
          <w:tcPr>
            <w:tcW w:w="555" w:type="dxa"/>
            <w:tcBorders>
              <w:bottom w:val="single" w:sz="4" w:space="0" w:color="auto"/>
            </w:tcBorders>
          </w:tcPr>
          <w:p w14:paraId="60C60357" w14:textId="77777777" w:rsidR="00D45EC5" w:rsidRPr="00384DBE" w:rsidRDefault="00D45EC5" w:rsidP="00D45EC5">
            <w:pPr>
              <w:widowControl w:val="0"/>
              <w:autoSpaceDE w:val="0"/>
              <w:autoSpaceDN w:val="0"/>
              <w:rPr>
                <w:lang w:val="id"/>
              </w:rPr>
            </w:pPr>
          </w:p>
        </w:tc>
        <w:tc>
          <w:tcPr>
            <w:tcW w:w="5953" w:type="dxa"/>
            <w:tcBorders>
              <w:bottom w:val="single" w:sz="4" w:space="0" w:color="auto"/>
            </w:tcBorders>
          </w:tcPr>
          <w:p w14:paraId="277B1532" w14:textId="485DC47E" w:rsidR="00D45EC5" w:rsidRPr="00384DBE" w:rsidRDefault="00952E38" w:rsidP="00D45EC5">
            <w:pPr>
              <w:widowControl w:val="0"/>
              <w:autoSpaceDE w:val="0"/>
              <w:autoSpaceDN w:val="0"/>
              <w:spacing w:before="119"/>
              <w:rPr>
                <w:lang w:val="id"/>
              </w:rPr>
            </w:pPr>
            <w:r w:rsidRPr="00952E38">
              <w:rPr>
                <w:lang w:val="id"/>
              </w:rPr>
              <w:t>observer year</w:t>
            </w:r>
          </w:p>
        </w:tc>
        <w:tc>
          <w:tcPr>
            <w:tcW w:w="993" w:type="dxa"/>
            <w:tcBorders>
              <w:bottom w:val="single" w:sz="4" w:space="0" w:color="auto"/>
            </w:tcBorders>
          </w:tcPr>
          <w:p w14:paraId="37E8EAEB" w14:textId="77777777" w:rsidR="00D45EC5" w:rsidRPr="00384DBE" w:rsidRDefault="00D45EC5" w:rsidP="0050385F">
            <w:pPr>
              <w:widowControl w:val="0"/>
              <w:autoSpaceDE w:val="0"/>
              <w:autoSpaceDN w:val="0"/>
              <w:spacing w:before="119" w:line="256" w:lineRule="exact"/>
              <w:ind w:right="64"/>
              <w:jc w:val="center"/>
              <w:rPr>
                <w:lang w:val="id"/>
              </w:rPr>
            </w:pPr>
            <w:r w:rsidRPr="00384DBE">
              <w:rPr>
                <w:w w:val="95"/>
                <w:lang w:val="id"/>
              </w:rPr>
              <w:t>5</w:t>
            </w:r>
          </w:p>
        </w:tc>
      </w:tr>
    </w:tbl>
    <w:p w14:paraId="0C9F0838" w14:textId="3F51E42C" w:rsidR="00D45EC5" w:rsidRDefault="00D45EC5" w:rsidP="002316D0">
      <w:pPr>
        <w:widowControl w:val="0"/>
        <w:autoSpaceDE w:val="0"/>
        <w:autoSpaceDN w:val="0"/>
        <w:spacing w:line="276" w:lineRule="auto"/>
        <w:rPr>
          <w:spacing w:val="-3"/>
          <w:szCs w:val="24"/>
        </w:rPr>
      </w:pPr>
      <w:r w:rsidRPr="00384DBE">
        <w:rPr>
          <w:szCs w:val="24"/>
          <w:lang w:val="id"/>
        </w:rPr>
        <w:t>S</w:t>
      </w:r>
      <w:proofErr w:type="spellStart"/>
      <w:r w:rsidR="001F3F96">
        <w:rPr>
          <w:szCs w:val="24"/>
        </w:rPr>
        <w:t>ource</w:t>
      </w:r>
      <w:proofErr w:type="spellEnd"/>
      <w:r w:rsidRPr="00384DBE">
        <w:rPr>
          <w:spacing w:val="-4"/>
          <w:szCs w:val="24"/>
          <w:lang w:val="id"/>
        </w:rPr>
        <w:t xml:space="preserve"> </w:t>
      </w:r>
      <w:r w:rsidRPr="00384DBE">
        <w:rPr>
          <w:szCs w:val="24"/>
          <w:lang w:val="id"/>
        </w:rPr>
        <w:t>:</w:t>
      </w:r>
      <w:r w:rsidRPr="00384DBE">
        <w:rPr>
          <w:spacing w:val="-3"/>
          <w:szCs w:val="24"/>
        </w:rPr>
        <w:t xml:space="preserve"> </w:t>
      </w:r>
      <w:r w:rsidR="00A757EC" w:rsidRPr="00A757EC">
        <w:rPr>
          <w:spacing w:val="-3"/>
          <w:szCs w:val="24"/>
        </w:rPr>
        <w:t>The data is processed by the author,</w:t>
      </w:r>
      <w:r w:rsidR="00A757EC" w:rsidRPr="00A757EC">
        <w:rPr>
          <w:spacing w:val="-3"/>
          <w:szCs w:val="24"/>
        </w:rPr>
        <w:t xml:space="preserve"> </w:t>
      </w:r>
      <w:r w:rsidRPr="00384DBE">
        <w:rPr>
          <w:spacing w:val="-3"/>
          <w:szCs w:val="24"/>
        </w:rPr>
        <w:t>(2023)</w:t>
      </w:r>
    </w:p>
    <w:p w14:paraId="1C83B96C" w14:textId="1AFCF483" w:rsidR="00952E38" w:rsidRDefault="00952E38" w:rsidP="002316D0">
      <w:pPr>
        <w:widowControl w:val="0"/>
        <w:autoSpaceDE w:val="0"/>
        <w:autoSpaceDN w:val="0"/>
        <w:spacing w:after="240" w:line="276" w:lineRule="auto"/>
        <w:ind w:firstLine="360"/>
        <w:rPr>
          <w:color w:val="0E101A"/>
          <w:szCs w:val="24"/>
          <w:lang w:eastAsia="en-ID"/>
        </w:rPr>
      </w:pPr>
      <w:r w:rsidRPr="00601BE0">
        <w:rPr>
          <w:color w:val="0E101A"/>
          <w:szCs w:val="24"/>
          <w:lang w:eastAsia="en-ID"/>
        </w:rPr>
        <w:t>The sample in this study totaled 150 financial reports from 30 sample companies listed on the Indonesia Stock Exchange (IDX) for 5 years, namely from 2018 to 2022. The sample consists of 5 state-owned banks,</w:t>
      </w:r>
      <w:r w:rsidR="00A757EC">
        <w:rPr>
          <w:color w:val="0E101A"/>
          <w:szCs w:val="24"/>
          <w:lang w:eastAsia="en-ID"/>
        </w:rPr>
        <w:t xml:space="preserve"> </w:t>
      </w:r>
      <w:r w:rsidR="00A757EC" w:rsidRPr="00A757EC">
        <w:rPr>
          <w:color w:val="0E101A"/>
          <w:szCs w:val="24"/>
          <w:lang w:eastAsia="en-ID"/>
        </w:rPr>
        <w:t>23 national private banks, and 2 regional government banks.</w:t>
      </w:r>
    </w:p>
    <w:p w14:paraId="0CC24199" w14:textId="208132F3" w:rsidR="00A757EC" w:rsidRPr="0053602A" w:rsidRDefault="001F3F96" w:rsidP="00A757EC">
      <w:pPr>
        <w:widowControl w:val="0"/>
        <w:autoSpaceDE w:val="0"/>
        <w:autoSpaceDN w:val="0"/>
        <w:jc w:val="center"/>
        <w:outlineLvl w:val="0"/>
        <w:rPr>
          <w:b/>
          <w:bCs/>
          <w:sz w:val="22"/>
          <w:szCs w:val="22"/>
        </w:rPr>
      </w:pPr>
      <w:r>
        <w:rPr>
          <w:b/>
          <w:bCs/>
          <w:sz w:val="22"/>
          <w:szCs w:val="22"/>
        </w:rPr>
        <w:t>Tabel 3.2 Definition Operational Variable</w:t>
      </w:r>
      <w:r w:rsidR="0053602A">
        <w:rPr>
          <w:b/>
          <w:bCs/>
          <w:sz w:val="22"/>
          <w:szCs w:val="22"/>
        </w:rPr>
        <w:t xml:space="preserve"> </w:t>
      </w:r>
    </w:p>
    <w:tbl>
      <w:tblPr>
        <w:tblW w:w="9498" w:type="dxa"/>
        <w:tblBorders>
          <w:top w:val="single" w:sz="4" w:space="0" w:color="000000"/>
          <w:bottom w:val="single" w:sz="4" w:space="0" w:color="000000"/>
          <w:insideH w:val="single" w:sz="4" w:space="0" w:color="000000"/>
        </w:tblBorders>
        <w:tblLayout w:type="fixed"/>
        <w:tblCellMar>
          <w:left w:w="0" w:type="dxa"/>
          <w:right w:w="0" w:type="dxa"/>
        </w:tblCellMar>
        <w:tblLook w:val="01E0" w:firstRow="1" w:lastRow="1" w:firstColumn="1" w:lastColumn="1" w:noHBand="0" w:noVBand="0"/>
      </w:tblPr>
      <w:tblGrid>
        <w:gridCol w:w="1560"/>
        <w:gridCol w:w="3402"/>
        <w:gridCol w:w="567"/>
        <w:gridCol w:w="3969"/>
      </w:tblGrid>
      <w:tr w:rsidR="00A757EC" w:rsidRPr="00384DBE" w14:paraId="41D714D7" w14:textId="77777777" w:rsidTr="00A757EC">
        <w:trPr>
          <w:trHeight w:val="371"/>
        </w:trPr>
        <w:tc>
          <w:tcPr>
            <w:tcW w:w="1560" w:type="dxa"/>
          </w:tcPr>
          <w:p w14:paraId="1ADB825C" w14:textId="0594F04F" w:rsidR="00A757EC" w:rsidRPr="0053602A" w:rsidRDefault="00A757EC" w:rsidP="0050385F">
            <w:pPr>
              <w:widowControl w:val="0"/>
              <w:autoSpaceDE w:val="0"/>
              <w:autoSpaceDN w:val="0"/>
              <w:spacing w:before="2"/>
              <w:rPr>
                <w:b/>
                <w:sz w:val="22"/>
                <w:szCs w:val="22"/>
              </w:rPr>
            </w:pPr>
            <w:r w:rsidRPr="0053602A">
              <w:rPr>
                <w:b/>
                <w:sz w:val="22"/>
                <w:szCs w:val="22"/>
                <w:lang w:val="id"/>
              </w:rPr>
              <w:t>Variab</w:t>
            </w:r>
            <w:r w:rsidR="0053602A">
              <w:rPr>
                <w:b/>
                <w:sz w:val="22"/>
                <w:szCs w:val="22"/>
              </w:rPr>
              <w:t>le</w:t>
            </w:r>
          </w:p>
        </w:tc>
        <w:tc>
          <w:tcPr>
            <w:tcW w:w="3402" w:type="dxa"/>
          </w:tcPr>
          <w:p w14:paraId="7224CB20" w14:textId="6E739366" w:rsidR="00A757EC" w:rsidRPr="0053602A" w:rsidRDefault="00A757EC" w:rsidP="0050385F">
            <w:pPr>
              <w:widowControl w:val="0"/>
              <w:autoSpaceDE w:val="0"/>
              <w:autoSpaceDN w:val="0"/>
              <w:spacing w:before="2"/>
              <w:jc w:val="center"/>
              <w:rPr>
                <w:b/>
                <w:sz w:val="22"/>
                <w:szCs w:val="22"/>
              </w:rPr>
            </w:pPr>
            <w:r w:rsidRPr="0053602A">
              <w:rPr>
                <w:b/>
                <w:sz w:val="22"/>
                <w:szCs w:val="22"/>
              </w:rPr>
              <w:t>Defini</w:t>
            </w:r>
            <w:r w:rsidR="0053602A" w:rsidRPr="0053602A">
              <w:rPr>
                <w:b/>
                <w:sz w:val="22"/>
                <w:szCs w:val="22"/>
              </w:rPr>
              <w:t>tion</w:t>
            </w:r>
          </w:p>
        </w:tc>
        <w:tc>
          <w:tcPr>
            <w:tcW w:w="567" w:type="dxa"/>
          </w:tcPr>
          <w:p w14:paraId="08918450" w14:textId="5DA7261C" w:rsidR="00A757EC" w:rsidRPr="00A757EC" w:rsidRDefault="00A757EC" w:rsidP="0050385F">
            <w:pPr>
              <w:widowControl w:val="0"/>
              <w:autoSpaceDE w:val="0"/>
              <w:autoSpaceDN w:val="0"/>
              <w:rPr>
                <w:b/>
                <w:sz w:val="22"/>
                <w:szCs w:val="22"/>
                <w:lang w:val="id"/>
              </w:rPr>
            </w:pPr>
            <w:r w:rsidRPr="00A757EC">
              <w:rPr>
                <w:b/>
                <w:sz w:val="22"/>
                <w:szCs w:val="22"/>
                <w:lang w:val="id"/>
              </w:rPr>
              <w:t>S</w:t>
            </w:r>
            <w:r w:rsidR="0053602A">
              <w:rPr>
                <w:b/>
                <w:sz w:val="22"/>
                <w:szCs w:val="22"/>
              </w:rPr>
              <w:t>c</w:t>
            </w:r>
            <w:r w:rsidRPr="00A757EC">
              <w:rPr>
                <w:b/>
                <w:sz w:val="22"/>
                <w:szCs w:val="22"/>
                <w:lang w:val="id"/>
              </w:rPr>
              <w:t>ala</w:t>
            </w:r>
          </w:p>
        </w:tc>
        <w:tc>
          <w:tcPr>
            <w:tcW w:w="3969" w:type="dxa"/>
          </w:tcPr>
          <w:p w14:paraId="518DA3F0" w14:textId="5991D120" w:rsidR="00A757EC" w:rsidRPr="0053602A" w:rsidRDefault="00A757EC" w:rsidP="0050385F">
            <w:pPr>
              <w:widowControl w:val="0"/>
              <w:autoSpaceDE w:val="0"/>
              <w:autoSpaceDN w:val="0"/>
              <w:spacing w:before="2"/>
              <w:ind w:right="1018"/>
              <w:jc w:val="center"/>
              <w:rPr>
                <w:b/>
                <w:sz w:val="22"/>
                <w:szCs w:val="22"/>
                <w:lang w:val="id"/>
              </w:rPr>
            </w:pPr>
            <w:r w:rsidRPr="0053602A">
              <w:rPr>
                <w:b/>
                <w:sz w:val="22"/>
                <w:szCs w:val="22"/>
                <w:lang w:val="id"/>
              </w:rPr>
              <w:t>Indi</w:t>
            </w:r>
            <w:r w:rsidR="0053602A">
              <w:rPr>
                <w:b/>
                <w:sz w:val="22"/>
                <w:szCs w:val="22"/>
              </w:rPr>
              <w:t>c</w:t>
            </w:r>
            <w:r w:rsidRPr="0053602A">
              <w:rPr>
                <w:b/>
                <w:sz w:val="22"/>
                <w:szCs w:val="22"/>
                <w:lang w:val="id"/>
              </w:rPr>
              <w:t>ator</w:t>
            </w:r>
          </w:p>
        </w:tc>
      </w:tr>
      <w:tr w:rsidR="00A757EC" w:rsidRPr="00384DBE" w14:paraId="5364387C" w14:textId="77777777" w:rsidTr="00A757EC">
        <w:trPr>
          <w:trHeight w:val="747"/>
        </w:trPr>
        <w:tc>
          <w:tcPr>
            <w:tcW w:w="1560" w:type="dxa"/>
          </w:tcPr>
          <w:p w14:paraId="73475019" w14:textId="77777777" w:rsidR="00A757EC" w:rsidRPr="009C1815" w:rsidRDefault="00A757EC" w:rsidP="0050385F">
            <w:pPr>
              <w:widowControl w:val="0"/>
              <w:autoSpaceDE w:val="0"/>
              <w:autoSpaceDN w:val="0"/>
              <w:spacing w:before="2" w:line="357" w:lineRule="auto"/>
              <w:ind w:right="352"/>
              <w:rPr>
                <w:sz w:val="18"/>
                <w:szCs w:val="18"/>
                <w:lang w:val="id"/>
              </w:rPr>
            </w:pPr>
            <w:r w:rsidRPr="009C1815">
              <w:rPr>
                <w:i/>
                <w:sz w:val="18"/>
                <w:szCs w:val="18"/>
                <w:lang w:val="id"/>
              </w:rPr>
              <w:t>Loan to Deposit</w:t>
            </w:r>
            <w:r w:rsidRPr="009C1815">
              <w:rPr>
                <w:i/>
                <w:spacing w:val="1"/>
                <w:sz w:val="18"/>
                <w:szCs w:val="18"/>
                <w:lang w:val="id"/>
              </w:rPr>
              <w:t xml:space="preserve"> </w:t>
            </w:r>
            <w:r w:rsidRPr="009C1815">
              <w:rPr>
                <w:i/>
                <w:sz w:val="18"/>
                <w:szCs w:val="18"/>
                <w:lang w:val="id"/>
              </w:rPr>
              <w:t>Ratio</w:t>
            </w:r>
            <w:r w:rsidRPr="009C1815">
              <w:rPr>
                <w:i/>
                <w:spacing w:val="-5"/>
                <w:sz w:val="18"/>
                <w:szCs w:val="18"/>
                <w:lang w:val="id"/>
              </w:rPr>
              <w:t xml:space="preserve"> </w:t>
            </w:r>
            <w:r w:rsidRPr="009C1815">
              <w:rPr>
                <w:sz w:val="18"/>
                <w:szCs w:val="18"/>
                <w:lang w:val="id"/>
              </w:rPr>
              <w:t>(LDR)</w:t>
            </w:r>
            <w:r w:rsidRPr="009C1815">
              <w:rPr>
                <w:spacing w:val="52"/>
                <w:sz w:val="18"/>
                <w:szCs w:val="18"/>
                <w:lang w:val="id"/>
              </w:rPr>
              <w:t xml:space="preserve"> </w:t>
            </w:r>
            <w:r w:rsidRPr="009C1815">
              <w:rPr>
                <w:sz w:val="18"/>
                <w:szCs w:val="18"/>
                <w:lang w:val="id"/>
              </w:rPr>
              <w:t>(X1)</w:t>
            </w:r>
          </w:p>
        </w:tc>
        <w:tc>
          <w:tcPr>
            <w:tcW w:w="3402" w:type="dxa"/>
          </w:tcPr>
          <w:p w14:paraId="11D8C0AD" w14:textId="5FEC48B5" w:rsidR="00A757EC" w:rsidRPr="008564E7" w:rsidRDefault="006963B6" w:rsidP="0050385F">
            <w:pPr>
              <w:widowControl w:val="0"/>
              <w:autoSpaceDE w:val="0"/>
              <w:autoSpaceDN w:val="0"/>
              <w:spacing w:before="2"/>
              <w:jc w:val="both"/>
              <w:rPr>
                <w:sz w:val="20"/>
                <w:lang w:val="id"/>
              </w:rPr>
            </w:pPr>
            <w:r w:rsidRPr="006963B6">
              <w:rPr>
                <w:sz w:val="20"/>
                <w:lang w:val="id"/>
              </w:rPr>
              <w:t>Comparison ratio between the amount of financing disbursed and total third party funds</w:t>
            </w:r>
          </w:p>
        </w:tc>
        <w:tc>
          <w:tcPr>
            <w:tcW w:w="567" w:type="dxa"/>
          </w:tcPr>
          <w:p w14:paraId="43646E69" w14:textId="7C958572" w:rsidR="00A757EC" w:rsidRPr="008564E7" w:rsidRDefault="00A757EC" w:rsidP="0050385F">
            <w:pPr>
              <w:widowControl w:val="0"/>
              <w:autoSpaceDE w:val="0"/>
              <w:autoSpaceDN w:val="0"/>
              <w:spacing w:before="2"/>
              <w:jc w:val="center"/>
              <w:rPr>
                <w:sz w:val="20"/>
                <w:lang w:val="id"/>
              </w:rPr>
            </w:pPr>
            <w:r w:rsidRPr="008564E7">
              <w:rPr>
                <w:sz w:val="20"/>
                <w:lang w:val="id"/>
              </w:rPr>
              <w:t>Ra</w:t>
            </w:r>
            <w:r w:rsidR="0053602A">
              <w:rPr>
                <w:sz w:val="20"/>
              </w:rPr>
              <w:t>t</w:t>
            </w:r>
            <w:r w:rsidRPr="008564E7">
              <w:rPr>
                <w:sz w:val="20"/>
                <w:lang w:val="id"/>
              </w:rPr>
              <w:t>io</w:t>
            </w:r>
          </w:p>
        </w:tc>
        <w:tc>
          <w:tcPr>
            <w:tcW w:w="3969" w:type="dxa"/>
          </w:tcPr>
          <w:p w14:paraId="7EEC8982" w14:textId="34DF1679" w:rsidR="00A757EC" w:rsidRPr="008564E7" w:rsidRDefault="00A757EC" w:rsidP="0050385F">
            <w:pPr>
              <w:widowControl w:val="0"/>
              <w:autoSpaceDE w:val="0"/>
              <w:autoSpaceDN w:val="0"/>
              <w:spacing w:line="480" w:lineRule="auto"/>
              <w:jc w:val="center"/>
              <w:rPr>
                <w:sz w:val="18"/>
                <w:szCs w:val="18"/>
              </w:rPr>
            </w:pPr>
            <m:oMathPara>
              <m:oMath>
                <m:r>
                  <m:rPr>
                    <m:sty m:val="p"/>
                  </m:rPr>
                  <w:rPr>
                    <w:rFonts w:ascii="Cambria Math" w:hAnsi="Cambria Math"/>
                    <w:sz w:val="18"/>
                    <w:szCs w:val="18"/>
                  </w:rPr>
                  <m:t>LDR=</m:t>
                </m:r>
                <m:f>
                  <m:fPr>
                    <m:ctrlPr>
                      <w:rPr>
                        <w:rFonts w:ascii="Cambria Math" w:hAnsi="Cambria Math"/>
                        <w:iCs/>
                        <w:sz w:val="18"/>
                        <w:szCs w:val="18"/>
                      </w:rPr>
                    </m:ctrlPr>
                  </m:fPr>
                  <m:num>
                    <m:r>
                      <m:rPr>
                        <m:sty m:val="p"/>
                      </m:rPr>
                      <w:rPr>
                        <w:rFonts w:ascii="Cambria Math" w:hAnsi="Cambria Math"/>
                        <w:sz w:val="18"/>
                        <w:szCs w:val="18"/>
                      </w:rPr>
                      <m:t>T</m:t>
                    </m:r>
                    <m:r>
                      <m:rPr>
                        <m:sty m:val="p"/>
                      </m:rPr>
                      <w:rPr>
                        <w:rFonts w:ascii="Cambria Math" w:hAnsi="Cambria Math"/>
                        <w:sz w:val="18"/>
                        <w:szCs w:val="18"/>
                      </w:rPr>
                      <m:t>otal credits granted</m:t>
                    </m:r>
                  </m:num>
                  <m:den>
                    <m:r>
                      <m:rPr>
                        <m:sty m:val="p"/>
                      </m:rPr>
                      <w:rPr>
                        <w:rFonts w:ascii="Cambria Math" w:hAnsi="Cambria Math"/>
                        <w:sz w:val="18"/>
                        <w:szCs w:val="18"/>
                      </w:rPr>
                      <m:t xml:space="preserve">Total </m:t>
                    </m:r>
                    <m:r>
                      <m:rPr>
                        <m:sty m:val="p"/>
                      </m:rPr>
                      <w:rPr>
                        <w:rFonts w:ascii="Cambria Math" w:hAnsi="Cambria Math"/>
                        <w:sz w:val="20"/>
                        <w:lang w:val="id"/>
                      </w:rPr>
                      <m:t>third party funds</m:t>
                    </m:r>
                  </m:den>
                </m:f>
              </m:oMath>
            </m:oMathPara>
          </w:p>
        </w:tc>
      </w:tr>
      <w:tr w:rsidR="00A757EC" w:rsidRPr="00384DBE" w14:paraId="75898620" w14:textId="77777777" w:rsidTr="00A757EC">
        <w:trPr>
          <w:trHeight w:val="672"/>
        </w:trPr>
        <w:tc>
          <w:tcPr>
            <w:tcW w:w="1560" w:type="dxa"/>
          </w:tcPr>
          <w:p w14:paraId="46D7DB6B" w14:textId="77777777" w:rsidR="00A757EC" w:rsidRPr="009C1815" w:rsidRDefault="00A757EC" w:rsidP="0050385F">
            <w:pPr>
              <w:widowControl w:val="0"/>
              <w:autoSpaceDE w:val="0"/>
              <w:autoSpaceDN w:val="0"/>
              <w:spacing w:line="362" w:lineRule="auto"/>
              <w:ind w:right="399"/>
              <w:rPr>
                <w:sz w:val="18"/>
                <w:szCs w:val="18"/>
                <w:lang w:val="id"/>
              </w:rPr>
            </w:pPr>
            <w:r w:rsidRPr="009C1815">
              <w:rPr>
                <w:i/>
                <w:sz w:val="18"/>
                <w:szCs w:val="18"/>
                <w:lang w:val="id"/>
              </w:rPr>
              <w:t>Capital A</w:t>
            </w:r>
            <w:r>
              <w:rPr>
                <w:i/>
                <w:sz w:val="18"/>
                <w:szCs w:val="18"/>
              </w:rPr>
              <w:t>d</w:t>
            </w:r>
            <w:r w:rsidRPr="009C1815">
              <w:rPr>
                <w:i/>
                <w:sz w:val="18"/>
                <w:szCs w:val="18"/>
                <w:lang w:val="id"/>
              </w:rPr>
              <w:t>equacy</w:t>
            </w:r>
            <w:r w:rsidRPr="009C1815">
              <w:rPr>
                <w:i/>
                <w:spacing w:val="1"/>
                <w:sz w:val="18"/>
                <w:szCs w:val="18"/>
                <w:lang w:val="id"/>
              </w:rPr>
              <w:t xml:space="preserve"> </w:t>
            </w:r>
            <w:r w:rsidRPr="009C1815">
              <w:rPr>
                <w:i/>
                <w:sz w:val="18"/>
                <w:szCs w:val="18"/>
                <w:lang w:val="id"/>
              </w:rPr>
              <w:t>Ratio</w:t>
            </w:r>
            <w:r w:rsidRPr="009C1815">
              <w:rPr>
                <w:i/>
                <w:spacing w:val="-7"/>
                <w:sz w:val="18"/>
                <w:szCs w:val="18"/>
                <w:lang w:val="id"/>
              </w:rPr>
              <w:t xml:space="preserve"> </w:t>
            </w:r>
            <w:r w:rsidRPr="009C1815">
              <w:rPr>
                <w:sz w:val="18"/>
                <w:szCs w:val="18"/>
                <w:lang w:val="id"/>
              </w:rPr>
              <w:t>(CAR)</w:t>
            </w:r>
            <w:r w:rsidRPr="009C1815">
              <w:rPr>
                <w:spacing w:val="-7"/>
                <w:sz w:val="18"/>
                <w:szCs w:val="18"/>
                <w:lang w:val="id"/>
              </w:rPr>
              <w:t xml:space="preserve"> </w:t>
            </w:r>
            <w:r w:rsidRPr="009C1815">
              <w:rPr>
                <w:sz w:val="18"/>
                <w:szCs w:val="18"/>
                <w:lang w:val="id"/>
              </w:rPr>
              <w:t>(X2)</w:t>
            </w:r>
          </w:p>
        </w:tc>
        <w:tc>
          <w:tcPr>
            <w:tcW w:w="3402" w:type="dxa"/>
          </w:tcPr>
          <w:p w14:paraId="620960B3" w14:textId="21C24AA2" w:rsidR="00A757EC" w:rsidRPr="008564E7" w:rsidRDefault="006963B6" w:rsidP="0050385F">
            <w:pPr>
              <w:widowControl w:val="0"/>
              <w:autoSpaceDE w:val="0"/>
              <w:autoSpaceDN w:val="0"/>
              <w:spacing w:line="275" w:lineRule="exact"/>
              <w:rPr>
                <w:sz w:val="20"/>
                <w:lang w:val="id"/>
              </w:rPr>
            </w:pPr>
            <w:r w:rsidRPr="006963B6">
              <w:rPr>
                <w:sz w:val="20"/>
                <w:lang w:val="id"/>
              </w:rPr>
              <w:t>Comparison ratio between bank capital to risk-weighted assets</w:t>
            </w:r>
          </w:p>
        </w:tc>
        <w:tc>
          <w:tcPr>
            <w:tcW w:w="567" w:type="dxa"/>
          </w:tcPr>
          <w:p w14:paraId="1CCFA226" w14:textId="5B2B5421" w:rsidR="00A757EC" w:rsidRPr="008564E7" w:rsidRDefault="00A757EC" w:rsidP="0050385F">
            <w:pPr>
              <w:widowControl w:val="0"/>
              <w:autoSpaceDE w:val="0"/>
              <w:autoSpaceDN w:val="0"/>
              <w:spacing w:before="240" w:line="275" w:lineRule="exact"/>
              <w:jc w:val="center"/>
              <w:rPr>
                <w:sz w:val="20"/>
                <w:lang w:val="id"/>
              </w:rPr>
            </w:pPr>
            <w:r w:rsidRPr="008564E7">
              <w:rPr>
                <w:sz w:val="20"/>
                <w:lang w:val="id"/>
              </w:rPr>
              <w:t>Ra</w:t>
            </w:r>
            <w:r w:rsidR="0053602A">
              <w:rPr>
                <w:sz w:val="20"/>
              </w:rPr>
              <w:t>t</w:t>
            </w:r>
            <w:r w:rsidRPr="008564E7">
              <w:rPr>
                <w:sz w:val="20"/>
                <w:lang w:val="id"/>
              </w:rPr>
              <w:t>io</w:t>
            </w:r>
          </w:p>
        </w:tc>
        <w:tc>
          <w:tcPr>
            <w:tcW w:w="3969" w:type="dxa"/>
          </w:tcPr>
          <w:p w14:paraId="648C4D97" w14:textId="455CAB5D" w:rsidR="00A757EC" w:rsidRPr="008564E7" w:rsidRDefault="00A757EC" w:rsidP="0050385F">
            <w:pPr>
              <w:widowControl w:val="0"/>
              <w:autoSpaceDE w:val="0"/>
              <w:autoSpaceDN w:val="0"/>
              <w:spacing w:line="480" w:lineRule="auto"/>
              <w:rPr>
                <w:sz w:val="18"/>
                <w:szCs w:val="18"/>
              </w:rPr>
            </w:pPr>
            <m:oMathPara>
              <m:oMath>
                <m:r>
                  <m:rPr>
                    <m:sty m:val="p"/>
                  </m:rPr>
                  <w:rPr>
                    <w:rFonts w:ascii="Cambria Math" w:hAnsi="Cambria Math"/>
                    <w:sz w:val="18"/>
                    <w:szCs w:val="18"/>
                  </w:rPr>
                  <m:t>CAR=</m:t>
                </m:r>
                <m:f>
                  <m:fPr>
                    <m:ctrlPr>
                      <w:rPr>
                        <w:rFonts w:ascii="Cambria Math" w:hAnsi="Cambria Math"/>
                        <w:iCs/>
                        <w:sz w:val="18"/>
                        <w:szCs w:val="18"/>
                      </w:rPr>
                    </m:ctrlPr>
                  </m:fPr>
                  <m:num>
                    <m:r>
                      <m:rPr>
                        <m:sty m:val="p"/>
                      </m:rPr>
                      <w:rPr>
                        <w:rFonts w:ascii="Cambria Math" w:hAnsi="Cambria Math"/>
                        <w:sz w:val="18"/>
                        <w:szCs w:val="18"/>
                      </w:rPr>
                      <m:t>Capital</m:t>
                    </m:r>
                  </m:num>
                  <m:den>
                    <m:r>
                      <m:rPr>
                        <m:sty m:val="p"/>
                      </m:rPr>
                      <w:rPr>
                        <w:rFonts w:ascii="Cambria Math" w:hAnsi="Cambria Math"/>
                        <w:sz w:val="18"/>
                        <w:szCs w:val="18"/>
                      </w:rPr>
                      <m:t>A</m:t>
                    </m:r>
                    <m:r>
                      <m:rPr>
                        <m:sty m:val="p"/>
                      </m:rPr>
                      <w:rPr>
                        <w:rFonts w:ascii="Cambria Math" w:hAnsi="Cambria Math"/>
                        <w:sz w:val="18"/>
                        <w:szCs w:val="18"/>
                      </w:rPr>
                      <m:t>risk-weighted assets</m:t>
                    </m:r>
                  </m:den>
                </m:f>
              </m:oMath>
            </m:oMathPara>
          </w:p>
        </w:tc>
      </w:tr>
      <w:tr w:rsidR="00A757EC" w:rsidRPr="00384DBE" w14:paraId="4AF59886" w14:textId="77777777" w:rsidTr="00A757EC">
        <w:trPr>
          <w:trHeight w:val="660"/>
        </w:trPr>
        <w:tc>
          <w:tcPr>
            <w:tcW w:w="1560" w:type="dxa"/>
          </w:tcPr>
          <w:p w14:paraId="221DD4B0" w14:textId="77777777" w:rsidR="00A757EC" w:rsidRPr="009C1815" w:rsidRDefault="00A757EC" w:rsidP="0050385F">
            <w:pPr>
              <w:widowControl w:val="0"/>
              <w:autoSpaceDE w:val="0"/>
              <w:autoSpaceDN w:val="0"/>
              <w:spacing w:line="275" w:lineRule="exact"/>
              <w:rPr>
                <w:sz w:val="18"/>
                <w:szCs w:val="18"/>
                <w:lang w:val="id"/>
              </w:rPr>
            </w:pPr>
            <w:r w:rsidRPr="009C1815">
              <w:rPr>
                <w:sz w:val="18"/>
                <w:szCs w:val="18"/>
                <w:lang w:val="id"/>
              </w:rPr>
              <w:t>Inflasi (X5)</w:t>
            </w:r>
          </w:p>
        </w:tc>
        <w:tc>
          <w:tcPr>
            <w:tcW w:w="3402" w:type="dxa"/>
          </w:tcPr>
          <w:p w14:paraId="6D753203" w14:textId="276B2FCB" w:rsidR="00A757EC" w:rsidRPr="00E06BDD" w:rsidRDefault="006963B6" w:rsidP="0050385F">
            <w:pPr>
              <w:widowControl w:val="0"/>
              <w:tabs>
                <w:tab w:val="left" w:pos="240"/>
              </w:tabs>
              <w:autoSpaceDE w:val="0"/>
              <w:autoSpaceDN w:val="0"/>
              <w:spacing w:line="275" w:lineRule="exact"/>
              <w:jc w:val="both"/>
              <w:rPr>
                <w:sz w:val="18"/>
                <w:szCs w:val="18"/>
                <w:lang w:val="id"/>
              </w:rPr>
            </w:pPr>
            <w:r w:rsidRPr="006963B6">
              <w:rPr>
                <w:sz w:val="18"/>
                <w:szCs w:val="18"/>
                <w:lang w:val="id"/>
              </w:rPr>
              <w:t>An increase in the price of goods and services that occurs due to high demand compared to the available supply of goods and services</w:t>
            </w:r>
          </w:p>
        </w:tc>
        <w:tc>
          <w:tcPr>
            <w:tcW w:w="567" w:type="dxa"/>
          </w:tcPr>
          <w:p w14:paraId="440C8145" w14:textId="52A32BA0" w:rsidR="00A757EC" w:rsidRPr="008564E7" w:rsidRDefault="00A757EC" w:rsidP="0050385F">
            <w:pPr>
              <w:widowControl w:val="0"/>
              <w:autoSpaceDE w:val="0"/>
              <w:autoSpaceDN w:val="0"/>
              <w:spacing w:line="275" w:lineRule="exact"/>
              <w:jc w:val="center"/>
              <w:rPr>
                <w:sz w:val="20"/>
                <w:lang w:val="id"/>
              </w:rPr>
            </w:pPr>
            <w:r w:rsidRPr="008564E7">
              <w:rPr>
                <w:sz w:val="20"/>
                <w:lang w:val="id"/>
              </w:rPr>
              <w:t>Ra</w:t>
            </w:r>
            <w:r w:rsidR="0053602A">
              <w:rPr>
                <w:sz w:val="20"/>
              </w:rPr>
              <w:t>t</w:t>
            </w:r>
            <w:r w:rsidRPr="008564E7">
              <w:rPr>
                <w:sz w:val="20"/>
                <w:lang w:val="id"/>
              </w:rPr>
              <w:t>io</w:t>
            </w:r>
          </w:p>
        </w:tc>
        <w:tc>
          <w:tcPr>
            <w:tcW w:w="3969" w:type="dxa"/>
          </w:tcPr>
          <w:p w14:paraId="2EC8085D" w14:textId="5273F479" w:rsidR="00A757EC" w:rsidRPr="00460FE5" w:rsidRDefault="00A757EC" w:rsidP="0050385F">
            <w:pPr>
              <w:widowControl w:val="0"/>
              <w:autoSpaceDE w:val="0"/>
              <w:autoSpaceDN w:val="0"/>
              <w:spacing w:line="360" w:lineRule="auto"/>
              <w:jc w:val="center"/>
              <w:rPr>
                <w:sz w:val="18"/>
                <w:szCs w:val="18"/>
              </w:rPr>
            </w:pPr>
            <m:oMathPara>
              <m:oMath>
                <m:r>
                  <m:rPr>
                    <m:sty m:val="p"/>
                  </m:rPr>
                  <w:rPr>
                    <w:rFonts w:ascii="Cambria Math" w:hAnsi="Cambria Math"/>
                    <w:sz w:val="18"/>
                    <w:szCs w:val="18"/>
                  </w:rPr>
                  <m:t>Infla</m:t>
                </m:r>
                <m:r>
                  <m:rPr>
                    <m:sty m:val="p"/>
                  </m:rPr>
                  <w:rPr>
                    <w:rFonts w:ascii="Cambria Math" w:hAnsi="Cambria Math"/>
                    <w:sz w:val="18"/>
                    <w:szCs w:val="18"/>
                  </w:rPr>
                  <m:t>tion</m:t>
                </m:r>
                <m:r>
                  <m:rPr>
                    <m:sty m:val="p"/>
                  </m:rPr>
                  <w:rPr>
                    <w:rFonts w:ascii="Cambria Math" w:hAnsi="Cambria Math"/>
                    <w:sz w:val="18"/>
                    <w:szCs w:val="18"/>
                  </w:rPr>
                  <m:t>=</m:t>
                </m:r>
                <m:f>
                  <m:fPr>
                    <m:ctrlPr>
                      <w:rPr>
                        <w:rFonts w:ascii="Cambria Math" w:hAnsi="Cambria Math"/>
                        <w:iCs/>
                        <w:sz w:val="18"/>
                        <w:szCs w:val="18"/>
                      </w:rPr>
                    </m:ctrlPr>
                  </m:fPr>
                  <m:num>
                    <m:sSub>
                      <m:sSubPr>
                        <m:ctrlPr>
                          <w:rPr>
                            <w:rFonts w:ascii="Cambria Math" w:hAnsi="Cambria Math"/>
                            <w:sz w:val="18"/>
                            <w:szCs w:val="18"/>
                          </w:rPr>
                        </m:ctrlPr>
                      </m:sSubPr>
                      <m:e>
                        <m:r>
                          <m:rPr>
                            <m:sty m:val="p"/>
                          </m:rPr>
                          <w:rPr>
                            <w:rFonts w:ascii="Cambria Math" w:hAnsi="Cambria Math"/>
                            <w:sz w:val="18"/>
                            <w:szCs w:val="18"/>
                          </w:rPr>
                          <m:t>IHK</m:t>
                        </m:r>
                      </m:e>
                      <m:sub>
                        <m:r>
                          <m:rPr>
                            <m:sty m:val="p"/>
                          </m:rPr>
                          <w:rPr>
                            <w:rFonts w:ascii="Cambria Math" w:hAnsi="Cambria Math"/>
                            <w:sz w:val="18"/>
                            <w:szCs w:val="18"/>
                          </w:rPr>
                          <m:t>t</m:t>
                        </m:r>
                      </m:sub>
                    </m:sSub>
                    <m:r>
                      <m:rPr>
                        <m:sty m:val="p"/>
                      </m:rPr>
                      <w:rPr>
                        <w:rFonts w:ascii="Cambria Math" w:hAnsi="Cambria Math"/>
                        <w:sz w:val="18"/>
                        <w:szCs w:val="18"/>
                      </w:rPr>
                      <m:t xml:space="preserve">- </m:t>
                    </m:r>
                    <m:sSub>
                      <m:sSubPr>
                        <m:ctrlPr>
                          <w:rPr>
                            <w:rFonts w:ascii="Cambria Math" w:hAnsi="Cambria Math"/>
                            <w:sz w:val="18"/>
                            <w:szCs w:val="18"/>
                          </w:rPr>
                        </m:ctrlPr>
                      </m:sSubPr>
                      <m:e>
                        <m:r>
                          <m:rPr>
                            <m:sty m:val="p"/>
                          </m:rPr>
                          <w:rPr>
                            <w:rFonts w:ascii="Cambria Math" w:hAnsi="Cambria Math"/>
                            <w:sz w:val="18"/>
                            <w:szCs w:val="18"/>
                          </w:rPr>
                          <m:t>IHK</m:t>
                        </m:r>
                      </m:e>
                      <m:sub>
                        <m:r>
                          <m:rPr>
                            <m:sty m:val="p"/>
                          </m:rPr>
                          <w:rPr>
                            <w:rFonts w:ascii="Cambria Math" w:hAnsi="Cambria Math"/>
                            <w:sz w:val="18"/>
                            <w:szCs w:val="18"/>
                          </w:rPr>
                          <m:t>n-1</m:t>
                        </m:r>
                      </m:sub>
                    </m:sSub>
                  </m:num>
                  <m:den>
                    <m:sSub>
                      <m:sSubPr>
                        <m:ctrlPr>
                          <w:rPr>
                            <w:rFonts w:ascii="Cambria Math" w:hAnsi="Cambria Math"/>
                            <w:sz w:val="18"/>
                            <w:szCs w:val="18"/>
                          </w:rPr>
                        </m:ctrlPr>
                      </m:sSubPr>
                      <m:e>
                        <m:r>
                          <m:rPr>
                            <m:sty m:val="p"/>
                          </m:rPr>
                          <w:rPr>
                            <w:rFonts w:ascii="Cambria Math" w:hAnsi="Cambria Math"/>
                            <w:sz w:val="18"/>
                            <w:szCs w:val="18"/>
                          </w:rPr>
                          <m:t>IHK</m:t>
                        </m:r>
                      </m:e>
                      <m:sub>
                        <m:r>
                          <m:rPr>
                            <m:sty m:val="p"/>
                          </m:rPr>
                          <w:rPr>
                            <w:rFonts w:ascii="Cambria Math" w:hAnsi="Cambria Math"/>
                            <w:sz w:val="18"/>
                            <w:szCs w:val="18"/>
                          </w:rPr>
                          <m:t>n-1</m:t>
                        </m:r>
                      </m:sub>
                    </m:sSub>
                  </m:den>
                </m:f>
              </m:oMath>
            </m:oMathPara>
          </w:p>
        </w:tc>
      </w:tr>
      <w:tr w:rsidR="00A757EC" w:rsidRPr="00384DBE" w14:paraId="0BB1267F" w14:textId="77777777" w:rsidTr="00A757EC">
        <w:trPr>
          <w:trHeight w:val="714"/>
        </w:trPr>
        <w:tc>
          <w:tcPr>
            <w:tcW w:w="1560" w:type="dxa"/>
          </w:tcPr>
          <w:p w14:paraId="4AE9241F" w14:textId="77777777" w:rsidR="00A757EC" w:rsidRPr="009C1815" w:rsidRDefault="00A757EC" w:rsidP="0050385F">
            <w:pPr>
              <w:widowControl w:val="0"/>
              <w:autoSpaceDE w:val="0"/>
              <w:autoSpaceDN w:val="0"/>
              <w:spacing w:line="362" w:lineRule="auto"/>
              <w:ind w:right="505"/>
              <w:rPr>
                <w:sz w:val="18"/>
                <w:szCs w:val="18"/>
                <w:lang w:val="id"/>
              </w:rPr>
            </w:pPr>
            <w:r w:rsidRPr="009C1815">
              <w:rPr>
                <w:i/>
                <w:sz w:val="18"/>
                <w:szCs w:val="18"/>
                <w:lang w:val="id"/>
              </w:rPr>
              <w:t>Non Performing</w:t>
            </w:r>
            <w:r w:rsidRPr="009C1815">
              <w:rPr>
                <w:i/>
                <w:spacing w:val="-57"/>
                <w:sz w:val="18"/>
                <w:szCs w:val="18"/>
                <w:lang w:val="id"/>
              </w:rPr>
              <w:t xml:space="preserve"> </w:t>
            </w:r>
            <w:r w:rsidRPr="009C1815">
              <w:rPr>
                <w:i/>
                <w:sz w:val="18"/>
                <w:szCs w:val="18"/>
                <w:lang w:val="id"/>
              </w:rPr>
              <w:t>Loan</w:t>
            </w:r>
            <w:r w:rsidRPr="009C1815">
              <w:rPr>
                <w:i/>
                <w:spacing w:val="-3"/>
                <w:sz w:val="18"/>
                <w:szCs w:val="18"/>
                <w:lang w:val="id"/>
              </w:rPr>
              <w:t xml:space="preserve"> </w:t>
            </w:r>
            <w:r w:rsidRPr="009C1815">
              <w:rPr>
                <w:sz w:val="18"/>
                <w:szCs w:val="18"/>
                <w:lang w:val="id"/>
              </w:rPr>
              <w:t>(NPL)</w:t>
            </w:r>
            <w:r w:rsidRPr="009C1815">
              <w:rPr>
                <w:spacing w:val="-2"/>
                <w:sz w:val="18"/>
                <w:szCs w:val="18"/>
                <w:lang w:val="id"/>
              </w:rPr>
              <w:t xml:space="preserve"> </w:t>
            </w:r>
            <w:r w:rsidRPr="009C1815">
              <w:rPr>
                <w:sz w:val="18"/>
                <w:szCs w:val="18"/>
                <w:lang w:val="id"/>
              </w:rPr>
              <w:t>(Y)</w:t>
            </w:r>
          </w:p>
        </w:tc>
        <w:tc>
          <w:tcPr>
            <w:tcW w:w="3402" w:type="dxa"/>
          </w:tcPr>
          <w:p w14:paraId="6D1B9220" w14:textId="2EA694D5" w:rsidR="00A757EC" w:rsidRPr="008564E7" w:rsidRDefault="006963B6" w:rsidP="0050385F">
            <w:pPr>
              <w:widowControl w:val="0"/>
              <w:autoSpaceDE w:val="0"/>
              <w:autoSpaceDN w:val="0"/>
              <w:spacing w:line="275" w:lineRule="exact"/>
              <w:jc w:val="both"/>
              <w:rPr>
                <w:sz w:val="20"/>
                <w:lang w:val="id"/>
              </w:rPr>
            </w:pPr>
            <w:r w:rsidRPr="006963B6">
              <w:rPr>
                <w:sz w:val="20"/>
                <w:lang w:val="id"/>
              </w:rPr>
              <w:t>The ratio between the amount of loans disbursed and the level of collectability (non-performing loans) compared to the total loans disbursed by the bank.</w:t>
            </w:r>
          </w:p>
        </w:tc>
        <w:tc>
          <w:tcPr>
            <w:tcW w:w="567" w:type="dxa"/>
          </w:tcPr>
          <w:p w14:paraId="55C1BFCC" w14:textId="156DCBBC" w:rsidR="00A757EC" w:rsidRPr="008564E7" w:rsidRDefault="00A757EC" w:rsidP="0050385F">
            <w:pPr>
              <w:widowControl w:val="0"/>
              <w:autoSpaceDE w:val="0"/>
              <w:autoSpaceDN w:val="0"/>
              <w:spacing w:line="275" w:lineRule="exact"/>
              <w:jc w:val="center"/>
              <w:rPr>
                <w:sz w:val="20"/>
                <w:lang w:val="id"/>
              </w:rPr>
            </w:pPr>
            <w:r w:rsidRPr="008564E7">
              <w:rPr>
                <w:sz w:val="20"/>
                <w:lang w:val="id"/>
              </w:rPr>
              <w:t>Ra</w:t>
            </w:r>
            <w:r w:rsidR="0053602A">
              <w:rPr>
                <w:sz w:val="20"/>
              </w:rPr>
              <w:t>t</w:t>
            </w:r>
            <w:r w:rsidR="00BA0EA9">
              <w:rPr>
                <w:sz w:val="20"/>
              </w:rPr>
              <w:t xml:space="preserve"> </w:t>
            </w:r>
            <w:r w:rsidRPr="008564E7">
              <w:rPr>
                <w:sz w:val="20"/>
                <w:lang w:val="id"/>
              </w:rPr>
              <w:t>io</w:t>
            </w:r>
          </w:p>
        </w:tc>
        <w:tc>
          <w:tcPr>
            <w:tcW w:w="3969" w:type="dxa"/>
          </w:tcPr>
          <w:p w14:paraId="04E7DDCA" w14:textId="77777777" w:rsidR="00A757EC" w:rsidRPr="00384DBE" w:rsidRDefault="00A757EC" w:rsidP="0050385F">
            <w:pPr>
              <w:widowControl w:val="0"/>
              <w:tabs>
                <w:tab w:val="left" w:pos="2724"/>
              </w:tabs>
              <w:autoSpaceDE w:val="0"/>
              <w:autoSpaceDN w:val="0"/>
              <w:spacing w:line="158" w:lineRule="exact"/>
              <w:ind w:right="121"/>
              <w:jc w:val="center"/>
              <w:rPr>
                <w:rFonts w:ascii="Cambria Math" w:eastAsia="Cambria Math"/>
                <w:lang w:val="id"/>
              </w:rPr>
            </w:pPr>
          </w:p>
          <w:p w14:paraId="4E343858" w14:textId="45EAEE3A" w:rsidR="00A757EC" w:rsidRPr="009C1815" w:rsidRDefault="00A757EC" w:rsidP="0050385F">
            <w:pPr>
              <w:widowControl w:val="0"/>
              <w:autoSpaceDE w:val="0"/>
              <w:autoSpaceDN w:val="0"/>
              <w:spacing w:line="276" w:lineRule="auto"/>
              <w:jc w:val="center"/>
              <w:rPr>
                <w:rFonts w:eastAsia="Calibri"/>
                <w:iCs/>
                <w:sz w:val="18"/>
                <w:szCs w:val="18"/>
              </w:rPr>
            </w:pPr>
            <m:oMathPara>
              <m:oMath>
                <m:r>
                  <m:rPr>
                    <m:sty m:val="p"/>
                  </m:rPr>
                  <w:rPr>
                    <w:rFonts w:ascii="Cambria Math" w:hAnsi="Cambria Math"/>
                    <w:sz w:val="18"/>
                    <w:szCs w:val="18"/>
                  </w:rPr>
                  <m:t>NPL=</m:t>
                </m:r>
                <m:f>
                  <m:fPr>
                    <m:ctrlPr>
                      <w:rPr>
                        <w:rFonts w:ascii="Cambria Math" w:hAnsi="Cambria Math"/>
                        <w:iCs/>
                        <w:sz w:val="18"/>
                        <w:szCs w:val="18"/>
                      </w:rPr>
                    </m:ctrlPr>
                  </m:fPr>
                  <m:num>
                    <m:r>
                      <m:rPr>
                        <m:sty m:val="p"/>
                      </m:rPr>
                      <w:rPr>
                        <w:rFonts w:ascii="Cambria Math" w:hAnsi="Cambria Math"/>
                        <w:sz w:val="18"/>
                        <w:szCs w:val="18"/>
                      </w:rPr>
                      <m:t xml:space="preserve">Problem Credit </m:t>
                    </m:r>
                  </m:num>
                  <m:den>
                    <m:r>
                      <m:rPr>
                        <m:sty m:val="p"/>
                      </m:rPr>
                      <w:rPr>
                        <w:rFonts w:ascii="Cambria Math" w:hAnsi="Cambria Math"/>
                        <w:sz w:val="18"/>
                        <w:szCs w:val="18"/>
                      </w:rPr>
                      <m:t xml:space="preserve">Total </m:t>
                    </m:r>
                    <m:r>
                      <m:rPr>
                        <m:sty m:val="p"/>
                      </m:rPr>
                      <w:rPr>
                        <w:rFonts w:ascii="Cambria Math" w:hAnsi="Cambria Math"/>
                        <w:sz w:val="18"/>
                        <w:szCs w:val="18"/>
                      </w:rPr>
                      <m:t>C</m:t>
                    </m:r>
                    <m:r>
                      <m:rPr>
                        <m:sty m:val="p"/>
                      </m:rPr>
                      <w:rPr>
                        <w:rFonts w:ascii="Cambria Math" w:hAnsi="Cambria Math"/>
                        <w:sz w:val="18"/>
                        <w:szCs w:val="18"/>
                      </w:rPr>
                      <m:t>redit</m:t>
                    </m:r>
                  </m:den>
                </m:f>
              </m:oMath>
            </m:oMathPara>
          </w:p>
          <w:p w14:paraId="44625705" w14:textId="77777777" w:rsidR="00A757EC" w:rsidRPr="00384DBE" w:rsidRDefault="00A757EC" w:rsidP="0050385F">
            <w:pPr>
              <w:widowControl w:val="0"/>
              <w:tabs>
                <w:tab w:val="left" w:pos="2724"/>
              </w:tabs>
              <w:autoSpaceDE w:val="0"/>
              <w:autoSpaceDN w:val="0"/>
              <w:spacing w:line="158" w:lineRule="exact"/>
              <w:ind w:right="121"/>
              <w:jc w:val="center"/>
              <w:rPr>
                <w:rFonts w:ascii="Cambria Math" w:eastAsia="Cambria Math"/>
                <w:lang w:val="id"/>
              </w:rPr>
            </w:pPr>
          </w:p>
        </w:tc>
      </w:tr>
    </w:tbl>
    <w:p w14:paraId="43AB51AA" w14:textId="281C0275" w:rsidR="001F3F96" w:rsidRDefault="001F3F96" w:rsidP="001F3F96">
      <w:pPr>
        <w:widowControl w:val="0"/>
        <w:autoSpaceDE w:val="0"/>
        <w:autoSpaceDN w:val="0"/>
        <w:rPr>
          <w:spacing w:val="-3"/>
          <w:szCs w:val="24"/>
        </w:rPr>
      </w:pPr>
      <w:r w:rsidRPr="00384DBE">
        <w:rPr>
          <w:szCs w:val="24"/>
          <w:lang w:val="id"/>
        </w:rPr>
        <w:t>S</w:t>
      </w:r>
      <w:proofErr w:type="spellStart"/>
      <w:r>
        <w:rPr>
          <w:szCs w:val="24"/>
        </w:rPr>
        <w:t>ource</w:t>
      </w:r>
      <w:proofErr w:type="spellEnd"/>
      <w:r w:rsidRPr="00384DBE">
        <w:rPr>
          <w:spacing w:val="-4"/>
          <w:szCs w:val="24"/>
          <w:lang w:val="id"/>
        </w:rPr>
        <w:t xml:space="preserve"> </w:t>
      </w:r>
      <w:r w:rsidRPr="00384DBE">
        <w:rPr>
          <w:szCs w:val="24"/>
          <w:lang w:val="id"/>
        </w:rPr>
        <w:t>:</w:t>
      </w:r>
      <w:r w:rsidRPr="00384DBE">
        <w:rPr>
          <w:spacing w:val="-3"/>
          <w:szCs w:val="24"/>
        </w:rPr>
        <w:t xml:space="preserve"> </w:t>
      </w:r>
      <w:r w:rsidRPr="00A757EC">
        <w:rPr>
          <w:spacing w:val="-3"/>
          <w:szCs w:val="24"/>
        </w:rPr>
        <w:t xml:space="preserve">The data is processed by the author, </w:t>
      </w:r>
      <w:r w:rsidRPr="00384DBE">
        <w:rPr>
          <w:spacing w:val="-3"/>
          <w:szCs w:val="24"/>
        </w:rPr>
        <w:t>(2023)</w:t>
      </w:r>
    </w:p>
    <w:p w14:paraId="41667796" w14:textId="77777777" w:rsidR="00C06755" w:rsidRPr="00D372F2" w:rsidRDefault="00C06755" w:rsidP="001F3F96">
      <w:pPr>
        <w:spacing w:line="276" w:lineRule="auto"/>
        <w:jc w:val="both"/>
        <w:rPr>
          <w:color w:val="0E101A"/>
          <w:szCs w:val="24"/>
          <w:lang w:eastAsia="en-ID"/>
        </w:rPr>
      </w:pPr>
    </w:p>
    <w:p w14:paraId="6B5292EE" w14:textId="32112C7D" w:rsidR="00D73172" w:rsidRPr="00020CCF" w:rsidRDefault="00BA0EA9" w:rsidP="002316D0">
      <w:pPr>
        <w:pStyle w:val="Heading1"/>
        <w:suppressAutoHyphens/>
        <w:spacing w:line="276" w:lineRule="auto"/>
        <w:rPr>
          <w:i w:val="0"/>
          <w:sz w:val="24"/>
          <w:szCs w:val="24"/>
        </w:rPr>
      </w:pPr>
      <w:r>
        <w:rPr>
          <w:i w:val="0"/>
          <w:sz w:val="24"/>
          <w:szCs w:val="24"/>
        </w:rPr>
        <w:t xml:space="preserve">4. </w:t>
      </w:r>
      <w:r w:rsidR="008A398D" w:rsidRPr="00020CCF">
        <w:rPr>
          <w:i w:val="0"/>
          <w:sz w:val="24"/>
          <w:szCs w:val="24"/>
          <w:lang w:val="id-ID"/>
        </w:rPr>
        <w:t>Results and</w:t>
      </w:r>
      <w:r w:rsidR="008A398D" w:rsidRPr="00020CCF">
        <w:rPr>
          <w:i w:val="0"/>
          <w:sz w:val="24"/>
          <w:szCs w:val="24"/>
        </w:rPr>
        <w:t xml:space="preserve"> D</w:t>
      </w:r>
      <w:r w:rsidR="008A398D" w:rsidRPr="00020CCF">
        <w:rPr>
          <w:i w:val="0"/>
          <w:sz w:val="24"/>
          <w:szCs w:val="24"/>
          <w:lang w:val="id-ID"/>
        </w:rPr>
        <w:t>iscussion</w:t>
      </w:r>
    </w:p>
    <w:p w14:paraId="4603CD9C" w14:textId="24A67F86" w:rsidR="00C06755" w:rsidRPr="00C06755" w:rsidRDefault="00020CCF" w:rsidP="002316D0">
      <w:pPr>
        <w:pStyle w:val="Heading1"/>
        <w:numPr>
          <w:ilvl w:val="1"/>
          <w:numId w:val="10"/>
        </w:numPr>
        <w:suppressAutoHyphens/>
        <w:spacing w:after="60" w:line="276" w:lineRule="auto"/>
        <w:rPr>
          <w:b w:val="0"/>
          <w:i w:val="0"/>
          <w:sz w:val="24"/>
          <w:szCs w:val="24"/>
          <w:lang w:val="id-ID"/>
        </w:rPr>
      </w:pPr>
      <w:r>
        <w:rPr>
          <w:i w:val="0"/>
          <w:sz w:val="24"/>
          <w:szCs w:val="24"/>
          <w:lang w:val="id-ID"/>
        </w:rPr>
        <w:t xml:space="preserve"> </w:t>
      </w:r>
      <w:r w:rsidR="008A398D" w:rsidRPr="00020CCF">
        <w:rPr>
          <w:i w:val="0"/>
          <w:sz w:val="24"/>
          <w:szCs w:val="24"/>
          <w:lang w:val="id-ID"/>
        </w:rPr>
        <w:t>Results</w:t>
      </w:r>
    </w:p>
    <w:p w14:paraId="125738F9" w14:textId="26BAB76D" w:rsidR="00C06755" w:rsidRPr="00C06755" w:rsidRDefault="00C06755" w:rsidP="002316D0">
      <w:pPr>
        <w:spacing w:line="276" w:lineRule="auto"/>
        <w:jc w:val="center"/>
        <w:rPr>
          <w:b/>
          <w:bCs/>
          <w:color w:val="0E101A"/>
          <w:sz w:val="22"/>
          <w:szCs w:val="22"/>
          <w:lang w:eastAsia="en-ID"/>
        </w:rPr>
      </w:pPr>
      <w:r w:rsidRPr="00C06755">
        <w:rPr>
          <w:b/>
          <w:bCs/>
          <w:color w:val="0E101A"/>
          <w:sz w:val="22"/>
          <w:szCs w:val="22"/>
          <w:lang w:eastAsia="en-ID"/>
        </w:rPr>
        <w:t>Tab</w:t>
      </w:r>
      <w:r>
        <w:rPr>
          <w:b/>
          <w:bCs/>
          <w:color w:val="0E101A"/>
          <w:sz w:val="22"/>
          <w:szCs w:val="22"/>
          <w:lang w:eastAsia="en-ID"/>
        </w:rPr>
        <w:t>le 4.</w:t>
      </w:r>
      <w:r w:rsidRPr="00C06755">
        <w:rPr>
          <w:b/>
          <w:bCs/>
          <w:color w:val="0E101A"/>
          <w:sz w:val="22"/>
          <w:szCs w:val="22"/>
          <w:lang w:eastAsia="en-ID"/>
        </w:rPr>
        <w:t>1: Normality Test with Jarque-Bera Test</w:t>
      </w:r>
    </w:p>
    <w:p w14:paraId="373158A3" w14:textId="77777777" w:rsidR="00C06755" w:rsidRPr="00601BE0" w:rsidRDefault="00C06755" w:rsidP="002316D0">
      <w:pPr>
        <w:spacing w:line="276" w:lineRule="auto"/>
        <w:jc w:val="center"/>
        <w:rPr>
          <w:color w:val="0E101A"/>
          <w:szCs w:val="24"/>
          <w:lang w:eastAsia="en-ID"/>
        </w:rPr>
      </w:pPr>
      <w:r>
        <w:object w:dxaOrig="9650" w:dyaOrig="4281" w14:anchorId="1AF3B4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1.65pt;height:161.6pt" o:ole="">
            <v:imagedata r:id="rId12" o:title=""/>
          </v:shape>
          <o:OLEObject Type="Embed" ProgID="EViews.Workfile.2" ShapeID="_x0000_i1025" DrawAspect="Content" ObjectID="_1754724600" r:id="rId13"/>
        </w:object>
      </w:r>
    </w:p>
    <w:p w14:paraId="455B6174" w14:textId="2276F25A" w:rsidR="00C06755" w:rsidRPr="00601BE0" w:rsidRDefault="00C06755" w:rsidP="002316D0">
      <w:pPr>
        <w:spacing w:line="276" w:lineRule="auto"/>
        <w:ind w:firstLine="720"/>
        <w:jc w:val="both"/>
        <w:rPr>
          <w:color w:val="0E101A"/>
          <w:szCs w:val="24"/>
          <w:lang w:eastAsia="en-ID"/>
        </w:rPr>
      </w:pPr>
      <w:r w:rsidRPr="00601BE0">
        <w:rPr>
          <w:color w:val="0E101A"/>
          <w:szCs w:val="24"/>
          <w:lang w:eastAsia="en-ID"/>
        </w:rPr>
        <w:lastRenderedPageBreak/>
        <w:t>Based on the output results from the table above, the bark-</w:t>
      </w:r>
      <w:proofErr w:type="spellStart"/>
      <w:r w:rsidRPr="00601BE0">
        <w:rPr>
          <w:color w:val="0E101A"/>
          <w:szCs w:val="24"/>
          <w:lang w:eastAsia="en-ID"/>
        </w:rPr>
        <w:t>bera</w:t>
      </w:r>
      <w:proofErr w:type="spellEnd"/>
      <w:r w:rsidRPr="00601BE0">
        <w:rPr>
          <w:color w:val="0E101A"/>
          <w:szCs w:val="24"/>
          <w:lang w:eastAsia="en-ID"/>
        </w:rPr>
        <w:t xml:space="preserve"> probability value is 5.824006, and the probability value obtained is greater than 0.05, meaning that the data is normally distributed.</w:t>
      </w:r>
    </w:p>
    <w:p w14:paraId="5DB67F46" w14:textId="5A403C03" w:rsidR="00C06755" w:rsidRPr="00C06755" w:rsidRDefault="00C06755" w:rsidP="002316D0">
      <w:pPr>
        <w:spacing w:line="276" w:lineRule="auto"/>
        <w:jc w:val="center"/>
        <w:rPr>
          <w:b/>
          <w:bCs/>
          <w:color w:val="0E101A"/>
          <w:sz w:val="22"/>
          <w:szCs w:val="22"/>
          <w:lang w:eastAsia="en-ID"/>
        </w:rPr>
      </w:pPr>
      <w:r w:rsidRPr="00C06755">
        <w:rPr>
          <w:b/>
          <w:bCs/>
          <w:color w:val="0E101A"/>
          <w:sz w:val="22"/>
          <w:szCs w:val="22"/>
          <w:lang w:eastAsia="en-ID"/>
        </w:rPr>
        <w:t>Table</w:t>
      </w:r>
      <w:r>
        <w:rPr>
          <w:b/>
          <w:bCs/>
          <w:color w:val="0E101A"/>
          <w:sz w:val="22"/>
          <w:szCs w:val="22"/>
          <w:lang w:eastAsia="en-ID"/>
        </w:rPr>
        <w:t xml:space="preserve"> 4.</w:t>
      </w:r>
      <w:r w:rsidRPr="00C06755">
        <w:rPr>
          <w:b/>
          <w:bCs/>
          <w:color w:val="0E101A"/>
          <w:sz w:val="22"/>
          <w:szCs w:val="22"/>
          <w:lang w:eastAsia="en-ID"/>
        </w:rPr>
        <w:t>2: Multicollinearity Test with VIF Test</w:t>
      </w:r>
    </w:p>
    <w:tbl>
      <w:tblPr>
        <w:tblW w:w="0" w:type="auto"/>
        <w:jc w:val="center"/>
        <w:tblLayout w:type="fixed"/>
        <w:tblCellMar>
          <w:left w:w="0" w:type="dxa"/>
          <w:right w:w="0" w:type="dxa"/>
        </w:tblCellMar>
        <w:tblLook w:val="0000" w:firstRow="0" w:lastRow="0" w:firstColumn="0" w:lastColumn="0" w:noHBand="0" w:noVBand="0"/>
      </w:tblPr>
      <w:tblGrid>
        <w:gridCol w:w="1920"/>
        <w:gridCol w:w="1150"/>
      </w:tblGrid>
      <w:tr w:rsidR="00C06755" w:rsidRPr="00C06755" w14:paraId="492D0189" w14:textId="77777777" w:rsidTr="0050385F">
        <w:trPr>
          <w:trHeight w:val="220"/>
          <w:jc w:val="center"/>
        </w:trPr>
        <w:tc>
          <w:tcPr>
            <w:tcW w:w="1920" w:type="dxa"/>
            <w:tcBorders>
              <w:top w:val="single" w:sz="4" w:space="0" w:color="auto"/>
              <w:left w:val="nil"/>
              <w:bottom w:val="single" w:sz="4" w:space="0" w:color="auto"/>
              <w:right w:val="nil"/>
            </w:tcBorders>
            <w:vAlign w:val="bottom"/>
          </w:tcPr>
          <w:p w14:paraId="3D3D7BFE" w14:textId="77777777" w:rsidR="00C06755" w:rsidRPr="00C06755" w:rsidRDefault="00C06755" w:rsidP="002316D0">
            <w:pPr>
              <w:autoSpaceDE w:val="0"/>
              <w:autoSpaceDN w:val="0"/>
              <w:adjustRightInd w:val="0"/>
              <w:spacing w:line="276" w:lineRule="auto"/>
              <w:jc w:val="center"/>
              <w:rPr>
                <w:b/>
                <w:bCs/>
                <w:color w:val="000000"/>
                <w:sz w:val="22"/>
                <w:szCs w:val="22"/>
              </w:rPr>
            </w:pPr>
            <w:r w:rsidRPr="00C06755">
              <w:rPr>
                <w:b/>
                <w:bCs/>
                <w:color w:val="000000"/>
                <w:sz w:val="22"/>
                <w:szCs w:val="22"/>
              </w:rPr>
              <w:t>Variables</w:t>
            </w:r>
          </w:p>
        </w:tc>
        <w:tc>
          <w:tcPr>
            <w:tcW w:w="1150" w:type="dxa"/>
            <w:tcBorders>
              <w:top w:val="single" w:sz="4" w:space="0" w:color="auto"/>
              <w:left w:val="nil"/>
              <w:bottom w:val="single" w:sz="4" w:space="0" w:color="auto"/>
              <w:right w:val="nil"/>
            </w:tcBorders>
            <w:vAlign w:val="bottom"/>
          </w:tcPr>
          <w:p w14:paraId="7ACA97C3" w14:textId="77777777" w:rsidR="00C06755" w:rsidRPr="00C06755" w:rsidRDefault="00C06755" w:rsidP="002316D0">
            <w:pPr>
              <w:autoSpaceDE w:val="0"/>
              <w:autoSpaceDN w:val="0"/>
              <w:adjustRightInd w:val="0"/>
              <w:spacing w:line="276" w:lineRule="auto"/>
              <w:jc w:val="center"/>
              <w:rPr>
                <w:b/>
                <w:bCs/>
                <w:color w:val="000000"/>
                <w:sz w:val="22"/>
                <w:szCs w:val="22"/>
              </w:rPr>
            </w:pPr>
            <w:r w:rsidRPr="00C06755">
              <w:rPr>
                <w:b/>
                <w:bCs/>
                <w:color w:val="000000"/>
                <w:sz w:val="22"/>
                <w:szCs w:val="22"/>
              </w:rPr>
              <w:t>VIF</w:t>
            </w:r>
          </w:p>
        </w:tc>
      </w:tr>
      <w:tr w:rsidR="00C06755" w:rsidRPr="00C06755" w14:paraId="5626D5BB" w14:textId="77777777" w:rsidTr="0050385F">
        <w:trPr>
          <w:trHeight w:val="220"/>
          <w:jc w:val="center"/>
        </w:trPr>
        <w:tc>
          <w:tcPr>
            <w:tcW w:w="1920" w:type="dxa"/>
            <w:tcBorders>
              <w:top w:val="single" w:sz="4" w:space="0" w:color="auto"/>
              <w:left w:val="nil"/>
              <w:bottom w:val="nil"/>
              <w:right w:val="nil"/>
            </w:tcBorders>
            <w:vAlign w:val="bottom"/>
          </w:tcPr>
          <w:p w14:paraId="5EA0BB9C" w14:textId="77777777" w:rsidR="00C06755" w:rsidRPr="00C06755" w:rsidRDefault="00C06755" w:rsidP="002316D0">
            <w:pPr>
              <w:autoSpaceDE w:val="0"/>
              <w:autoSpaceDN w:val="0"/>
              <w:adjustRightInd w:val="0"/>
              <w:spacing w:line="276" w:lineRule="auto"/>
              <w:jc w:val="center"/>
              <w:rPr>
                <w:color w:val="000000"/>
                <w:sz w:val="22"/>
                <w:szCs w:val="22"/>
              </w:rPr>
            </w:pPr>
            <w:r w:rsidRPr="00C06755">
              <w:rPr>
                <w:color w:val="000000"/>
                <w:sz w:val="22"/>
                <w:szCs w:val="22"/>
              </w:rPr>
              <w:t>LDR</w:t>
            </w:r>
          </w:p>
        </w:tc>
        <w:tc>
          <w:tcPr>
            <w:tcW w:w="1150" w:type="dxa"/>
            <w:tcBorders>
              <w:top w:val="single" w:sz="4" w:space="0" w:color="auto"/>
              <w:left w:val="nil"/>
              <w:bottom w:val="nil"/>
              <w:right w:val="nil"/>
            </w:tcBorders>
            <w:vAlign w:val="bottom"/>
          </w:tcPr>
          <w:p w14:paraId="574A3D84" w14:textId="77777777" w:rsidR="00C06755" w:rsidRPr="00C06755" w:rsidRDefault="00C06755" w:rsidP="002316D0">
            <w:pPr>
              <w:autoSpaceDE w:val="0"/>
              <w:autoSpaceDN w:val="0"/>
              <w:adjustRightInd w:val="0"/>
              <w:spacing w:line="276" w:lineRule="auto"/>
              <w:jc w:val="center"/>
              <w:rPr>
                <w:color w:val="000000"/>
                <w:sz w:val="22"/>
                <w:szCs w:val="22"/>
              </w:rPr>
            </w:pPr>
            <w:r w:rsidRPr="00C06755">
              <w:rPr>
                <w:color w:val="000000"/>
                <w:sz w:val="22"/>
                <w:szCs w:val="22"/>
              </w:rPr>
              <w:t>1.216370</w:t>
            </w:r>
          </w:p>
        </w:tc>
      </w:tr>
      <w:tr w:rsidR="00C06755" w:rsidRPr="00C06755" w14:paraId="5E34872B" w14:textId="77777777" w:rsidTr="0050385F">
        <w:trPr>
          <w:trHeight w:val="220"/>
          <w:jc w:val="center"/>
        </w:trPr>
        <w:tc>
          <w:tcPr>
            <w:tcW w:w="1920" w:type="dxa"/>
            <w:tcBorders>
              <w:top w:val="nil"/>
              <w:left w:val="nil"/>
              <w:bottom w:val="nil"/>
              <w:right w:val="nil"/>
            </w:tcBorders>
            <w:vAlign w:val="bottom"/>
          </w:tcPr>
          <w:p w14:paraId="2AE24C8A" w14:textId="77777777" w:rsidR="00C06755" w:rsidRPr="00C06755" w:rsidRDefault="00C06755" w:rsidP="002316D0">
            <w:pPr>
              <w:autoSpaceDE w:val="0"/>
              <w:autoSpaceDN w:val="0"/>
              <w:adjustRightInd w:val="0"/>
              <w:spacing w:line="276" w:lineRule="auto"/>
              <w:jc w:val="center"/>
              <w:rPr>
                <w:color w:val="000000"/>
                <w:sz w:val="22"/>
                <w:szCs w:val="22"/>
              </w:rPr>
            </w:pPr>
            <w:r w:rsidRPr="00C06755">
              <w:rPr>
                <w:color w:val="000000"/>
                <w:sz w:val="22"/>
                <w:szCs w:val="22"/>
              </w:rPr>
              <w:t>CAR</w:t>
            </w:r>
          </w:p>
        </w:tc>
        <w:tc>
          <w:tcPr>
            <w:tcW w:w="1150" w:type="dxa"/>
            <w:tcBorders>
              <w:top w:val="nil"/>
              <w:left w:val="nil"/>
              <w:bottom w:val="nil"/>
              <w:right w:val="nil"/>
            </w:tcBorders>
            <w:vAlign w:val="bottom"/>
          </w:tcPr>
          <w:p w14:paraId="469F094C" w14:textId="77777777" w:rsidR="00C06755" w:rsidRPr="00C06755" w:rsidRDefault="00C06755" w:rsidP="002316D0">
            <w:pPr>
              <w:autoSpaceDE w:val="0"/>
              <w:autoSpaceDN w:val="0"/>
              <w:adjustRightInd w:val="0"/>
              <w:spacing w:line="276" w:lineRule="auto"/>
              <w:jc w:val="center"/>
              <w:rPr>
                <w:color w:val="000000"/>
                <w:sz w:val="22"/>
                <w:szCs w:val="22"/>
              </w:rPr>
            </w:pPr>
            <w:r w:rsidRPr="00C06755">
              <w:rPr>
                <w:color w:val="000000"/>
                <w:sz w:val="22"/>
                <w:szCs w:val="22"/>
              </w:rPr>
              <w:t>1.155336</w:t>
            </w:r>
          </w:p>
        </w:tc>
      </w:tr>
      <w:tr w:rsidR="00C06755" w:rsidRPr="00C06755" w14:paraId="3CD13EF3" w14:textId="77777777" w:rsidTr="002316D0">
        <w:trPr>
          <w:trHeight w:val="220"/>
          <w:jc w:val="center"/>
        </w:trPr>
        <w:tc>
          <w:tcPr>
            <w:tcW w:w="1920" w:type="dxa"/>
            <w:tcBorders>
              <w:top w:val="nil"/>
              <w:left w:val="nil"/>
              <w:bottom w:val="single" w:sz="4" w:space="0" w:color="auto"/>
              <w:right w:val="nil"/>
            </w:tcBorders>
            <w:vAlign w:val="bottom"/>
          </w:tcPr>
          <w:p w14:paraId="1B2413D5" w14:textId="77777777" w:rsidR="00C06755" w:rsidRPr="00C06755" w:rsidRDefault="00C06755" w:rsidP="002316D0">
            <w:pPr>
              <w:autoSpaceDE w:val="0"/>
              <w:autoSpaceDN w:val="0"/>
              <w:adjustRightInd w:val="0"/>
              <w:spacing w:line="276" w:lineRule="auto"/>
              <w:jc w:val="center"/>
              <w:rPr>
                <w:color w:val="000000"/>
                <w:sz w:val="22"/>
                <w:szCs w:val="22"/>
              </w:rPr>
            </w:pPr>
            <w:r w:rsidRPr="00C06755">
              <w:rPr>
                <w:color w:val="000000"/>
                <w:sz w:val="22"/>
                <w:szCs w:val="22"/>
              </w:rPr>
              <w:t>Inflation</w:t>
            </w:r>
          </w:p>
        </w:tc>
        <w:tc>
          <w:tcPr>
            <w:tcW w:w="1150" w:type="dxa"/>
            <w:tcBorders>
              <w:top w:val="nil"/>
              <w:left w:val="nil"/>
              <w:bottom w:val="single" w:sz="4" w:space="0" w:color="auto"/>
              <w:right w:val="nil"/>
            </w:tcBorders>
            <w:vAlign w:val="bottom"/>
          </w:tcPr>
          <w:p w14:paraId="5219A4B9" w14:textId="77777777" w:rsidR="00C06755" w:rsidRPr="00C06755" w:rsidRDefault="00C06755" w:rsidP="002316D0">
            <w:pPr>
              <w:autoSpaceDE w:val="0"/>
              <w:autoSpaceDN w:val="0"/>
              <w:adjustRightInd w:val="0"/>
              <w:spacing w:line="276" w:lineRule="auto"/>
              <w:jc w:val="center"/>
              <w:rPr>
                <w:color w:val="000000"/>
                <w:sz w:val="22"/>
                <w:szCs w:val="22"/>
              </w:rPr>
            </w:pPr>
            <w:r w:rsidRPr="00C06755">
              <w:rPr>
                <w:color w:val="000000"/>
                <w:sz w:val="22"/>
                <w:szCs w:val="22"/>
              </w:rPr>
              <w:t>1.115835</w:t>
            </w:r>
          </w:p>
        </w:tc>
      </w:tr>
    </w:tbl>
    <w:p w14:paraId="37B76235" w14:textId="77777777" w:rsidR="00C06755" w:rsidRPr="00601BE0" w:rsidRDefault="00C06755" w:rsidP="002316D0">
      <w:pPr>
        <w:spacing w:line="276" w:lineRule="auto"/>
        <w:ind w:firstLine="720"/>
        <w:jc w:val="both"/>
        <w:rPr>
          <w:color w:val="0E101A"/>
          <w:szCs w:val="24"/>
          <w:lang w:eastAsia="en-ID"/>
        </w:rPr>
      </w:pPr>
      <w:r w:rsidRPr="00601BE0">
        <w:rPr>
          <w:color w:val="0E101A"/>
          <w:szCs w:val="24"/>
          <w:lang w:eastAsia="en-ID"/>
        </w:rPr>
        <w:t>The results show the value of the Multicollinearity Test with Variance Inflation Factor (VIF), VIF is less than 10. This shows that the model is free from multicollinearity.</w:t>
      </w:r>
    </w:p>
    <w:p w14:paraId="113F4A46" w14:textId="4AD74222" w:rsidR="00C06755" w:rsidRPr="00C06755" w:rsidRDefault="00C06755" w:rsidP="002316D0">
      <w:pPr>
        <w:spacing w:line="276" w:lineRule="auto"/>
        <w:jc w:val="center"/>
        <w:rPr>
          <w:b/>
          <w:bCs/>
          <w:color w:val="0E101A"/>
          <w:sz w:val="22"/>
          <w:szCs w:val="22"/>
          <w:lang w:eastAsia="en-ID"/>
        </w:rPr>
      </w:pPr>
      <w:r w:rsidRPr="00C06755">
        <w:rPr>
          <w:b/>
          <w:bCs/>
          <w:color w:val="0E101A"/>
          <w:sz w:val="22"/>
          <w:szCs w:val="22"/>
          <w:lang w:eastAsia="en-ID"/>
        </w:rPr>
        <w:t>Tab</w:t>
      </w:r>
      <w:r w:rsidRPr="00C06755">
        <w:rPr>
          <w:b/>
          <w:bCs/>
          <w:color w:val="0E101A"/>
          <w:sz w:val="22"/>
          <w:szCs w:val="22"/>
          <w:lang w:eastAsia="en-ID"/>
        </w:rPr>
        <w:t xml:space="preserve">le </w:t>
      </w:r>
      <w:proofErr w:type="gramStart"/>
      <w:r w:rsidRPr="00C06755">
        <w:rPr>
          <w:b/>
          <w:bCs/>
          <w:color w:val="0E101A"/>
          <w:sz w:val="22"/>
          <w:szCs w:val="22"/>
          <w:lang w:eastAsia="en-ID"/>
        </w:rPr>
        <w:t>4.</w:t>
      </w:r>
      <w:r w:rsidRPr="00C06755">
        <w:rPr>
          <w:b/>
          <w:bCs/>
          <w:color w:val="0E101A"/>
          <w:sz w:val="22"/>
          <w:szCs w:val="22"/>
          <w:lang w:eastAsia="en-ID"/>
        </w:rPr>
        <w:t>3 :</w:t>
      </w:r>
      <w:proofErr w:type="gramEnd"/>
      <w:r w:rsidRPr="00C06755">
        <w:rPr>
          <w:b/>
          <w:bCs/>
          <w:color w:val="0E101A"/>
          <w:sz w:val="22"/>
          <w:szCs w:val="22"/>
          <w:lang w:eastAsia="en-ID"/>
        </w:rPr>
        <w:t xml:space="preserve"> Autocorrelation Test with Durbin-Watson Test</w:t>
      </w:r>
    </w:p>
    <w:tbl>
      <w:tblPr>
        <w:tblW w:w="0" w:type="auto"/>
        <w:jc w:val="center"/>
        <w:tblLayout w:type="fixed"/>
        <w:tblCellMar>
          <w:left w:w="0" w:type="dxa"/>
          <w:right w:w="0" w:type="dxa"/>
        </w:tblCellMar>
        <w:tblLook w:val="01E0" w:firstRow="1" w:lastRow="1" w:firstColumn="1" w:lastColumn="1" w:noHBand="0" w:noVBand="0"/>
      </w:tblPr>
      <w:tblGrid>
        <w:gridCol w:w="2288"/>
        <w:gridCol w:w="2445"/>
      </w:tblGrid>
      <w:tr w:rsidR="00C06755" w:rsidRPr="00E31014" w14:paraId="0974CC7B" w14:textId="77777777" w:rsidTr="0050385F">
        <w:trPr>
          <w:trHeight w:val="253"/>
          <w:jc w:val="center"/>
        </w:trPr>
        <w:tc>
          <w:tcPr>
            <w:tcW w:w="2288" w:type="dxa"/>
            <w:tcBorders>
              <w:top w:val="single" w:sz="4" w:space="0" w:color="000000"/>
              <w:bottom w:val="single" w:sz="4" w:space="0" w:color="000000"/>
            </w:tcBorders>
          </w:tcPr>
          <w:p w14:paraId="441109B0" w14:textId="77777777" w:rsidR="00C06755" w:rsidRPr="00C06755" w:rsidRDefault="00C06755" w:rsidP="002316D0">
            <w:pPr>
              <w:widowControl w:val="0"/>
              <w:autoSpaceDE w:val="0"/>
              <w:autoSpaceDN w:val="0"/>
              <w:spacing w:before="1" w:line="276" w:lineRule="auto"/>
              <w:ind w:left="115"/>
              <w:rPr>
                <w:b/>
                <w:sz w:val="22"/>
                <w:szCs w:val="22"/>
              </w:rPr>
            </w:pPr>
            <w:r w:rsidRPr="00C06755">
              <w:rPr>
                <w:b/>
                <w:sz w:val="22"/>
                <w:szCs w:val="22"/>
                <w:lang w:val="id"/>
              </w:rPr>
              <w:t>Information</w:t>
            </w:r>
          </w:p>
        </w:tc>
        <w:tc>
          <w:tcPr>
            <w:tcW w:w="2445" w:type="dxa"/>
            <w:tcBorders>
              <w:top w:val="single" w:sz="4" w:space="0" w:color="000000"/>
              <w:bottom w:val="single" w:sz="4" w:space="0" w:color="000000"/>
            </w:tcBorders>
          </w:tcPr>
          <w:p w14:paraId="5CAD8FDC" w14:textId="77777777" w:rsidR="00C06755" w:rsidRPr="00C06755" w:rsidRDefault="00C06755" w:rsidP="002316D0">
            <w:pPr>
              <w:widowControl w:val="0"/>
              <w:autoSpaceDE w:val="0"/>
              <w:autoSpaceDN w:val="0"/>
              <w:spacing w:before="1" w:line="276" w:lineRule="auto"/>
              <w:ind w:left="798"/>
              <w:rPr>
                <w:b/>
                <w:sz w:val="22"/>
                <w:szCs w:val="22"/>
              </w:rPr>
            </w:pPr>
            <w:r w:rsidRPr="00C06755">
              <w:rPr>
                <w:b/>
                <w:sz w:val="22"/>
                <w:szCs w:val="22"/>
              </w:rPr>
              <w:t>Results</w:t>
            </w:r>
          </w:p>
        </w:tc>
      </w:tr>
      <w:tr w:rsidR="00C06755" w:rsidRPr="00E31014" w14:paraId="639AB04B" w14:textId="77777777" w:rsidTr="0050385F">
        <w:trPr>
          <w:trHeight w:val="254"/>
          <w:jc w:val="center"/>
        </w:trPr>
        <w:tc>
          <w:tcPr>
            <w:tcW w:w="2288" w:type="dxa"/>
            <w:tcBorders>
              <w:top w:val="single" w:sz="4" w:space="0" w:color="000000"/>
              <w:bottom w:val="single" w:sz="4" w:space="0" w:color="000000"/>
            </w:tcBorders>
          </w:tcPr>
          <w:p w14:paraId="60D55130" w14:textId="77777777" w:rsidR="00C06755" w:rsidRPr="00C06755" w:rsidRDefault="00C06755" w:rsidP="002316D0">
            <w:pPr>
              <w:widowControl w:val="0"/>
              <w:autoSpaceDE w:val="0"/>
              <w:autoSpaceDN w:val="0"/>
              <w:spacing w:line="276" w:lineRule="auto"/>
              <w:ind w:left="115"/>
              <w:rPr>
                <w:sz w:val="22"/>
                <w:szCs w:val="22"/>
                <w:lang w:val="id"/>
              </w:rPr>
            </w:pPr>
            <w:r w:rsidRPr="00C06755">
              <w:rPr>
                <w:sz w:val="22"/>
                <w:szCs w:val="22"/>
                <w:lang w:val="id"/>
              </w:rPr>
              <w:t>Probability Chi Square</w:t>
            </w:r>
          </w:p>
        </w:tc>
        <w:tc>
          <w:tcPr>
            <w:tcW w:w="2445" w:type="dxa"/>
            <w:tcBorders>
              <w:top w:val="single" w:sz="4" w:space="0" w:color="000000"/>
              <w:bottom w:val="single" w:sz="4" w:space="0" w:color="000000"/>
            </w:tcBorders>
          </w:tcPr>
          <w:p w14:paraId="72989BB7" w14:textId="77777777" w:rsidR="00C06755" w:rsidRPr="00C06755" w:rsidRDefault="00C06755" w:rsidP="002316D0">
            <w:pPr>
              <w:widowControl w:val="0"/>
              <w:autoSpaceDE w:val="0"/>
              <w:autoSpaceDN w:val="0"/>
              <w:spacing w:line="276" w:lineRule="auto"/>
              <w:ind w:left="155"/>
              <w:rPr>
                <w:sz w:val="22"/>
                <w:szCs w:val="22"/>
              </w:rPr>
            </w:pPr>
            <w:r w:rsidRPr="00C06755">
              <w:rPr>
                <w:sz w:val="22"/>
                <w:szCs w:val="22"/>
              </w:rPr>
              <w:t>0.2375</w:t>
            </w:r>
          </w:p>
        </w:tc>
      </w:tr>
    </w:tbl>
    <w:p w14:paraId="406A0DFB" w14:textId="77777777" w:rsidR="00C06755" w:rsidRPr="00601BE0" w:rsidRDefault="00C06755" w:rsidP="002316D0">
      <w:pPr>
        <w:spacing w:line="276" w:lineRule="auto"/>
        <w:ind w:firstLine="720"/>
        <w:jc w:val="both"/>
        <w:rPr>
          <w:color w:val="0E101A"/>
          <w:szCs w:val="24"/>
          <w:lang w:eastAsia="en-ID"/>
        </w:rPr>
      </w:pPr>
      <w:r w:rsidRPr="00601BE0">
        <w:rPr>
          <w:color w:val="0E101A"/>
          <w:szCs w:val="24"/>
          <w:lang w:eastAsia="en-ID"/>
        </w:rPr>
        <w:t>The results of the autocorrelation test with the Durbin-Watson test were 1.247445. based on the decision-making criteria that the DW value is between -2 to +2 there is no autocorrelation</w:t>
      </w:r>
    </w:p>
    <w:p w14:paraId="3FA71CC4" w14:textId="5F784D18" w:rsidR="00C06755" w:rsidRPr="00C06755" w:rsidRDefault="00C06755" w:rsidP="002316D0">
      <w:pPr>
        <w:spacing w:line="276" w:lineRule="auto"/>
        <w:jc w:val="center"/>
        <w:rPr>
          <w:color w:val="0E101A"/>
          <w:sz w:val="22"/>
          <w:szCs w:val="22"/>
          <w:lang w:eastAsia="en-ID"/>
        </w:rPr>
      </w:pPr>
      <w:r w:rsidRPr="00C06755">
        <w:rPr>
          <w:b/>
          <w:bCs/>
          <w:color w:val="0E101A"/>
          <w:sz w:val="22"/>
          <w:szCs w:val="22"/>
          <w:lang w:eastAsia="en-ID"/>
        </w:rPr>
        <w:t xml:space="preserve">Tabel </w:t>
      </w:r>
      <w:proofErr w:type="gramStart"/>
      <w:r w:rsidRPr="00C06755">
        <w:rPr>
          <w:b/>
          <w:bCs/>
          <w:color w:val="0E101A"/>
          <w:sz w:val="22"/>
          <w:szCs w:val="22"/>
          <w:lang w:eastAsia="en-ID"/>
        </w:rPr>
        <w:t>4</w:t>
      </w:r>
      <w:r w:rsidRPr="00C06755">
        <w:rPr>
          <w:b/>
          <w:bCs/>
          <w:color w:val="0E101A"/>
          <w:sz w:val="22"/>
          <w:szCs w:val="22"/>
          <w:lang w:eastAsia="en-ID"/>
        </w:rPr>
        <w:t>.4</w:t>
      </w:r>
      <w:r w:rsidRPr="00C06755">
        <w:rPr>
          <w:b/>
          <w:bCs/>
          <w:color w:val="0E101A"/>
          <w:sz w:val="22"/>
          <w:szCs w:val="22"/>
          <w:lang w:eastAsia="en-ID"/>
        </w:rPr>
        <w:t xml:space="preserve"> :</w:t>
      </w:r>
      <w:proofErr w:type="gramEnd"/>
      <w:r w:rsidRPr="00C06755">
        <w:rPr>
          <w:b/>
          <w:bCs/>
          <w:color w:val="0E101A"/>
          <w:sz w:val="22"/>
          <w:szCs w:val="22"/>
          <w:lang w:eastAsia="en-ID"/>
        </w:rPr>
        <w:t xml:space="preserve"> Heteroscedasticity Test with Arch Test</w:t>
      </w:r>
    </w:p>
    <w:tbl>
      <w:tblPr>
        <w:tblW w:w="0" w:type="auto"/>
        <w:jc w:val="center"/>
        <w:tblLayout w:type="fixed"/>
        <w:tblCellMar>
          <w:left w:w="0" w:type="dxa"/>
          <w:right w:w="0" w:type="dxa"/>
        </w:tblCellMar>
        <w:tblLook w:val="01E0" w:firstRow="1" w:lastRow="1" w:firstColumn="1" w:lastColumn="1" w:noHBand="0" w:noVBand="0"/>
      </w:tblPr>
      <w:tblGrid>
        <w:gridCol w:w="2288"/>
        <w:gridCol w:w="2445"/>
      </w:tblGrid>
      <w:tr w:rsidR="00C06755" w:rsidRPr="00E31014" w14:paraId="3F4B579B" w14:textId="77777777" w:rsidTr="0050385F">
        <w:trPr>
          <w:trHeight w:val="253"/>
          <w:jc w:val="center"/>
        </w:trPr>
        <w:tc>
          <w:tcPr>
            <w:tcW w:w="2288" w:type="dxa"/>
            <w:tcBorders>
              <w:top w:val="single" w:sz="4" w:space="0" w:color="000000"/>
              <w:bottom w:val="single" w:sz="4" w:space="0" w:color="000000"/>
            </w:tcBorders>
          </w:tcPr>
          <w:p w14:paraId="09076918" w14:textId="77777777" w:rsidR="00C06755" w:rsidRPr="00C06755" w:rsidRDefault="00C06755" w:rsidP="002316D0">
            <w:pPr>
              <w:widowControl w:val="0"/>
              <w:autoSpaceDE w:val="0"/>
              <w:autoSpaceDN w:val="0"/>
              <w:spacing w:before="1" w:line="276" w:lineRule="auto"/>
              <w:ind w:left="115"/>
              <w:rPr>
                <w:b/>
                <w:sz w:val="22"/>
                <w:szCs w:val="22"/>
                <w:lang w:val="id"/>
              </w:rPr>
            </w:pPr>
            <w:r w:rsidRPr="00C06755">
              <w:rPr>
                <w:b/>
                <w:sz w:val="22"/>
                <w:szCs w:val="22"/>
                <w:lang w:val="id"/>
              </w:rPr>
              <w:t>Information</w:t>
            </w:r>
          </w:p>
        </w:tc>
        <w:tc>
          <w:tcPr>
            <w:tcW w:w="2445" w:type="dxa"/>
            <w:tcBorders>
              <w:top w:val="single" w:sz="4" w:space="0" w:color="000000"/>
              <w:bottom w:val="single" w:sz="4" w:space="0" w:color="000000"/>
            </w:tcBorders>
          </w:tcPr>
          <w:p w14:paraId="7C5761AE" w14:textId="77777777" w:rsidR="00C06755" w:rsidRPr="00C06755" w:rsidRDefault="00C06755" w:rsidP="002316D0">
            <w:pPr>
              <w:widowControl w:val="0"/>
              <w:autoSpaceDE w:val="0"/>
              <w:autoSpaceDN w:val="0"/>
              <w:spacing w:before="1" w:line="276" w:lineRule="auto"/>
              <w:ind w:left="798"/>
              <w:rPr>
                <w:b/>
                <w:sz w:val="22"/>
                <w:szCs w:val="22"/>
              </w:rPr>
            </w:pPr>
            <w:r w:rsidRPr="00C06755">
              <w:rPr>
                <w:b/>
                <w:sz w:val="22"/>
                <w:szCs w:val="22"/>
              </w:rPr>
              <w:t>Results</w:t>
            </w:r>
          </w:p>
        </w:tc>
      </w:tr>
      <w:tr w:rsidR="00C06755" w:rsidRPr="00E31014" w14:paraId="53BB1B07" w14:textId="77777777" w:rsidTr="0050385F">
        <w:trPr>
          <w:trHeight w:val="254"/>
          <w:jc w:val="center"/>
        </w:trPr>
        <w:tc>
          <w:tcPr>
            <w:tcW w:w="2288" w:type="dxa"/>
            <w:tcBorders>
              <w:top w:val="single" w:sz="4" w:space="0" w:color="000000"/>
              <w:bottom w:val="single" w:sz="4" w:space="0" w:color="000000"/>
            </w:tcBorders>
          </w:tcPr>
          <w:p w14:paraId="486CB7D7" w14:textId="77777777" w:rsidR="00C06755" w:rsidRPr="00C06755" w:rsidRDefault="00C06755" w:rsidP="002316D0">
            <w:pPr>
              <w:widowControl w:val="0"/>
              <w:autoSpaceDE w:val="0"/>
              <w:autoSpaceDN w:val="0"/>
              <w:spacing w:line="276" w:lineRule="auto"/>
              <w:ind w:left="115"/>
              <w:rPr>
                <w:sz w:val="22"/>
                <w:szCs w:val="22"/>
                <w:lang w:val="id"/>
              </w:rPr>
            </w:pPr>
            <w:r w:rsidRPr="00C06755">
              <w:rPr>
                <w:sz w:val="22"/>
                <w:szCs w:val="22"/>
                <w:lang w:val="id"/>
              </w:rPr>
              <w:t>Probability Chi Square</w:t>
            </w:r>
          </w:p>
        </w:tc>
        <w:tc>
          <w:tcPr>
            <w:tcW w:w="2445" w:type="dxa"/>
            <w:tcBorders>
              <w:top w:val="single" w:sz="4" w:space="0" w:color="000000"/>
              <w:bottom w:val="single" w:sz="4" w:space="0" w:color="000000"/>
            </w:tcBorders>
          </w:tcPr>
          <w:p w14:paraId="0DD5877A" w14:textId="77777777" w:rsidR="00C06755" w:rsidRPr="00C06755" w:rsidRDefault="00C06755" w:rsidP="002316D0">
            <w:pPr>
              <w:widowControl w:val="0"/>
              <w:autoSpaceDE w:val="0"/>
              <w:autoSpaceDN w:val="0"/>
              <w:spacing w:line="276" w:lineRule="auto"/>
              <w:ind w:left="155"/>
              <w:rPr>
                <w:sz w:val="22"/>
                <w:szCs w:val="22"/>
              </w:rPr>
            </w:pPr>
            <w:r w:rsidRPr="00C06755">
              <w:rPr>
                <w:sz w:val="22"/>
                <w:szCs w:val="22"/>
              </w:rPr>
              <w:t>0.2375</w:t>
            </w:r>
          </w:p>
        </w:tc>
      </w:tr>
    </w:tbl>
    <w:p w14:paraId="4C08AEDD" w14:textId="77777777" w:rsidR="00C06755" w:rsidRPr="00601BE0" w:rsidRDefault="00C06755" w:rsidP="002316D0">
      <w:pPr>
        <w:spacing w:line="276" w:lineRule="auto"/>
        <w:ind w:firstLine="720"/>
        <w:jc w:val="both"/>
        <w:rPr>
          <w:color w:val="0E101A"/>
          <w:szCs w:val="24"/>
          <w:lang w:eastAsia="en-ID"/>
        </w:rPr>
      </w:pPr>
      <w:r w:rsidRPr="00601BE0">
        <w:rPr>
          <w:color w:val="0E101A"/>
          <w:szCs w:val="24"/>
          <w:lang w:eastAsia="en-ID"/>
        </w:rPr>
        <w:t xml:space="preserve">The results show that the probability chi-square value of </w:t>
      </w:r>
      <w:proofErr w:type="spellStart"/>
      <w:r w:rsidRPr="00601BE0">
        <w:rPr>
          <w:color w:val="0E101A"/>
          <w:szCs w:val="24"/>
          <w:lang w:eastAsia="en-ID"/>
        </w:rPr>
        <w:t>Obs</w:t>
      </w:r>
      <w:proofErr w:type="spellEnd"/>
      <w:r w:rsidRPr="00601BE0">
        <w:rPr>
          <w:color w:val="0E101A"/>
          <w:szCs w:val="24"/>
          <w:lang w:eastAsia="en-ID"/>
        </w:rPr>
        <w:t>*R-square is 0.2375, so the probability chi-square value is &gt; 0.05 so it can be concluded that there is no heteroscedasticity.</w:t>
      </w:r>
    </w:p>
    <w:p w14:paraId="04292D87" w14:textId="19D57F26" w:rsidR="00C06755" w:rsidRPr="00C06755" w:rsidRDefault="00C06755" w:rsidP="002316D0">
      <w:pPr>
        <w:spacing w:line="276" w:lineRule="auto"/>
        <w:jc w:val="center"/>
        <w:rPr>
          <w:color w:val="0E101A"/>
          <w:sz w:val="22"/>
          <w:szCs w:val="22"/>
          <w:lang w:eastAsia="en-ID"/>
        </w:rPr>
      </w:pPr>
      <w:r w:rsidRPr="00C06755">
        <w:rPr>
          <w:b/>
          <w:bCs/>
          <w:color w:val="0E101A"/>
          <w:sz w:val="22"/>
          <w:szCs w:val="22"/>
          <w:lang w:eastAsia="en-ID"/>
        </w:rPr>
        <w:t xml:space="preserve">Tabel </w:t>
      </w:r>
      <w:proofErr w:type="gramStart"/>
      <w:r w:rsidRPr="00C06755">
        <w:rPr>
          <w:b/>
          <w:bCs/>
          <w:color w:val="0E101A"/>
          <w:sz w:val="22"/>
          <w:szCs w:val="22"/>
          <w:lang w:eastAsia="en-ID"/>
        </w:rPr>
        <w:t>4.</w:t>
      </w:r>
      <w:r w:rsidRPr="00C06755">
        <w:rPr>
          <w:b/>
          <w:bCs/>
          <w:color w:val="0E101A"/>
          <w:sz w:val="22"/>
          <w:szCs w:val="22"/>
          <w:lang w:eastAsia="en-ID"/>
        </w:rPr>
        <w:t>5 :</w:t>
      </w:r>
      <w:proofErr w:type="gramEnd"/>
      <w:r w:rsidRPr="00C06755">
        <w:rPr>
          <w:b/>
          <w:bCs/>
          <w:color w:val="0E101A"/>
          <w:sz w:val="22"/>
          <w:szCs w:val="22"/>
          <w:lang w:eastAsia="en-ID"/>
        </w:rPr>
        <w:t xml:space="preserve"> Parameter coefficient with random effect model</w:t>
      </w:r>
    </w:p>
    <w:tbl>
      <w:tblPr>
        <w:tblW w:w="6774" w:type="dxa"/>
        <w:jc w:val="center"/>
        <w:tblLayout w:type="fixed"/>
        <w:tblCellMar>
          <w:left w:w="0" w:type="dxa"/>
          <w:right w:w="0" w:type="dxa"/>
        </w:tblCellMar>
        <w:tblLook w:val="0000" w:firstRow="0" w:lastRow="0" w:firstColumn="0" w:lastColumn="0" w:noHBand="0" w:noVBand="0"/>
      </w:tblPr>
      <w:tblGrid>
        <w:gridCol w:w="1920"/>
        <w:gridCol w:w="1050"/>
        <w:gridCol w:w="1150"/>
        <w:gridCol w:w="1150"/>
        <w:gridCol w:w="1504"/>
      </w:tblGrid>
      <w:tr w:rsidR="00C06755" w:rsidRPr="00C06755" w14:paraId="274C939A" w14:textId="77777777" w:rsidTr="0050385F">
        <w:trPr>
          <w:trHeight w:val="70"/>
          <w:jc w:val="center"/>
        </w:trPr>
        <w:tc>
          <w:tcPr>
            <w:tcW w:w="1920" w:type="dxa"/>
            <w:tcBorders>
              <w:top w:val="single" w:sz="4" w:space="0" w:color="auto"/>
              <w:left w:val="nil"/>
              <w:bottom w:val="single" w:sz="4" w:space="0" w:color="auto"/>
              <w:right w:val="nil"/>
            </w:tcBorders>
            <w:vAlign w:val="bottom"/>
          </w:tcPr>
          <w:p w14:paraId="3AC45455" w14:textId="77777777" w:rsidR="00C06755" w:rsidRPr="00C06755" w:rsidRDefault="00C06755" w:rsidP="002316D0">
            <w:pPr>
              <w:autoSpaceDE w:val="0"/>
              <w:autoSpaceDN w:val="0"/>
              <w:adjustRightInd w:val="0"/>
              <w:spacing w:line="276" w:lineRule="auto"/>
              <w:jc w:val="center"/>
              <w:rPr>
                <w:color w:val="000000"/>
                <w:sz w:val="22"/>
                <w:szCs w:val="22"/>
              </w:rPr>
            </w:pPr>
            <w:r w:rsidRPr="00C06755">
              <w:rPr>
                <w:color w:val="000000"/>
                <w:sz w:val="22"/>
                <w:szCs w:val="22"/>
              </w:rPr>
              <w:t>Variables</w:t>
            </w:r>
          </w:p>
        </w:tc>
        <w:tc>
          <w:tcPr>
            <w:tcW w:w="1050" w:type="dxa"/>
            <w:tcBorders>
              <w:top w:val="single" w:sz="4" w:space="0" w:color="auto"/>
              <w:left w:val="nil"/>
              <w:bottom w:val="single" w:sz="4" w:space="0" w:color="auto"/>
              <w:right w:val="nil"/>
            </w:tcBorders>
            <w:vAlign w:val="bottom"/>
          </w:tcPr>
          <w:p w14:paraId="18E414E0" w14:textId="77777777" w:rsidR="00C06755" w:rsidRPr="00C06755" w:rsidRDefault="00C06755" w:rsidP="002316D0">
            <w:pPr>
              <w:autoSpaceDE w:val="0"/>
              <w:autoSpaceDN w:val="0"/>
              <w:adjustRightInd w:val="0"/>
              <w:spacing w:line="276" w:lineRule="auto"/>
              <w:ind w:right="20"/>
              <w:jc w:val="right"/>
              <w:rPr>
                <w:color w:val="000000"/>
                <w:sz w:val="22"/>
                <w:szCs w:val="22"/>
              </w:rPr>
            </w:pPr>
            <w:r w:rsidRPr="00C06755">
              <w:rPr>
                <w:color w:val="000000"/>
                <w:sz w:val="22"/>
                <w:szCs w:val="22"/>
              </w:rPr>
              <w:t>coefficient</w:t>
            </w:r>
          </w:p>
        </w:tc>
        <w:tc>
          <w:tcPr>
            <w:tcW w:w="1150" w:type="dxa"/>
            <w:tcBorders>
              <w:top w:val="single" w:sz="4" w:space="0" w:color="auto"/>
              <w:left w:val="nil"/>
              <w:bottom w:val="single" w:sz="4" w:space="0" w:color="auto"/>
              <w:right w:val="nil"/>
            </w:tcBorders>
            <w:vAlign w:val="bottom"/>
          </w:tcPr>
          <w:p w14:paraId="0101A09B" w14:textId="77777777" w:rsidR="00C06755" w:rsidRPr="00C06755" w:rsidRDefault="00C06755" w:rsidP="002316D0">
            <w:pPr>
              <w:autoSpaceDE w:val="0"/>
              <w:autoSpaceDN w:val="0"/>
              <w:adjustRightInd w:val="0"/>
              <w:spacing w:line="276" w:lineRule="auto"/>
              <w:ind w:right="20"/>
              <w:jc w:val="right"/>
              <w:rPr>
                <w:color w:val="000000"/>
                <w:sz w:val="22"/>
                <w:szCs w:val="22"/>
              </w:rPr>
            </w:pPr>
            <w:r w:rsidRPr="00C06755">
              <w:rPr>
                <w:color w:val="000000"/>
                <w:sz w:val="22"/>
                <w:szCs w:val="22"/>
              </w:rPr>
              <w:t>std. Error</w:t>
            </w:r>
          </w:p>
        </w:tc>
        <w:tc>
          <w:tcPr>
            <w:tcW w:w="1150" w:type="dxa"/>
            <w:tcBorders>
              <w:top w:val="single" w:sz="4" w:space="0" w:color="auto"/>
              <w:left w:val="nil"/>
              <w:bottom w:val="single" w:sz="4" w:space="0" w:color="auto"/>
              <w:right w:val="nil"/>
            </w:tcBorders>
            <w:vAlign w:val="bottom"/>
          </w:tcPr>
          <w:p w14:paraId="367B1BDF" w14:textId="77777777" w:rsidR="00C06755" w:rsidRPr="00C06755" w:rsidRDefault="00C06755" w:rsidP="002316D0">
            <w:pPr>
              <w:autoSpaceDE w:val="0"/>
              <w:autoSpaceDN w:val="0"/>
              <w:adjustRightInd w:val="0"/>
              <w:spacing w:line="276" w:lineRule="auto"/>
              <w:ind w:right="20"/>
              <w:jc w:val="right"/>
              <w:rPr>
                <w:color w:val="000000"/>
                <w:sz w:val="22"/>
                <w:szCs w:val="22"/>
              </w:rPr>
            </w:pPr>
            <w:r w:rsidRPr="00C06755">
              <w:rPr>
                <w:color w:val="000000"/>
                <w:sz w:val="22"/>
                <w:szCs w:val="22"/>
              </w:rPr>
              <w:t>t-Statistics</w:t>
            </w:r>
          </w:p>
        </w:tc>
        <w:tc>
          <w:tcPr>
            <w:tcW w:w="1504" w:type="dxa"/>
            <w:tcBorders>
              <w:top w:val="single" w:sz="4" w:space="0" w:color="auto"/>
              <w:left w:val="nil"/>
              <w:bottom w:val="single" w:sz="4" w:space="0" w:color="auto"/>
              <w:right w:val="nil"/>
            </w:tcBorders>
            <w:vAlign w:val="bottom"/>
          </w:tcPr>
          <w:p w14:paraId="2BE91161" w14:textId="77777777" w:rsidR="00C06755" w:rsidRPr="00C06755" w:rsidRDefault="00C06755" w:rsidP="002316D0">
            <w:pPr>
              <w:autoSpaceDE w:val="0"/>
              <w:autoSpaceDN w:val="0"/>
              <w:adjustRightInd w:val="0"/>
              <w:spacing w:line="276" w:lineRule="auto"/>
              <w:ind w:right="20"/>
              <w:jc w:val="right"/>
              <w:rPr>
                <w:color w:val="000000"/>
                <w:sz w:val="22"/>
                <w:szCs w:val="22"/>
              </w:rPr>
            </w:pPr>
            <w:r w:rsidRPr="00C06755">
              <w:rPr>
                <w:color w:val="000000"/>
                <w:sz w:val="22"/>
                <w:szCs w:val="22"/>
              </w:rPr>
              <w:t>Prob.</w:t>
            </w:r>
          </w:p>
        </w:tc>
      </w:tr>
      <w:tr w:rsidR="00C06755" w:rsidRPr="00C06755" w14:paraId="1A90A176" w14:textId="77777777" w:rsidTr="0050385F">
        <w:trPr>
          <w:trHeight w:val="220"/>
          <w:jc w:val="center"/>
        </w:trPr>
        <w:tc>
          <w:tcPr>
            <w:tcW w:w="1920" w:type="dxa"/>
            <w:tcBorders>
              <w:top w:val="single" w:sz="4" w:space="0" w:color="auto"/>
              <w:left w:val="nil"/>
              <w:bottom w:val="nil"/>
              <w:right w:val="nil"/>
            </w:tcBorders>
            <w:vAlign w:val="bottom"/>
          </w:tcPr>
          <w:p w14:paraId="3FC73ADC" w14:textId="77777777" w:rsidR="00C06755" w:rsidRPr="00C06755" w:rsidRDefault="00C06755" w:rsidP="002316D0">
            <w:pPr>
              <w:autoSpaceDE w:val="0"/>
              <w:autoSpaceDN w:val="0"/>
              <w:adjustRightInd w:val="0"/>
              <w:spacing w:line="276" w:lineRule="auto"/>
              <w:jc w:val="center"/>
              <w:rPr>
                <w:color w:val="000000"/>
                <w:sz w:val="22"/>
                <w:szCs w:val="22"/>
              </w:rPr>
            </w:pPr>
            <w:r w:rsidRPr="00C06755">
              <w:rPr>
                <w:color w:val="000000"/>
                <w:sz w:val="22"/>
                <w:szCs w:val="22"/>
              </w:rPr>
              <w:t>C</w:t>
            </w:r>
          </w:p>
        </w:tc>
        <w:tc>
          <w:tcPr>
            <w:tcW w:w="1050" w:type="dxa"/>
            <w:tcBorders>
              <w:top w:val="single" w:sz="4" w:space="0" w:color="auto"/>
              <w:left w:val="nil"/>
              <w:bottom w:val="nil"/>
              <w:right w:val="nil"/>
            </w:tcBorders>
            <w:vAlign w:val="bottom"/>
          </w:tcPr>
          <w:p w14:paraId="5929E170" w14:textId="77777777" w:rsidR="00C06755" w:rsidRPr="00C06755" w:rsidRDefault="00C06755" w:rsidP="002316D0">
            <w:pPr>
              <w:autoSpaceDE w:val="0"/>
              <w:autoSpaceDN w:val="0"/>
              <w:adjustRightInd w:val="0"/>
              <w:spacing w:line="276" w:lineRule="auto"/>
              <w:ind w:right="20"/>
              <w:jc w:val="right"/>
              <w:rPr>
                <w:color w:val="000000"/>
                <w:sz w:val="22"/>
                <w:szCs w:val="22"/>
              </w:rPr>
            </w:pPr>
            <w:r w:rsidRPr="00C06755">
              <w:rPr>
                <w:color w:val="000000"/>
                <w:sz w:val="22"/>
                <w:szCs w:val="22"/>
              </w:rPr>
              <w:t>0.315519</w:t>
            </w:r>
          </w:p>
        </w:tc>
        <w:tc>
          <w:tcPr>
            <w:tcW w:w="1150" w:type="dxa"/>
            <w:tcBorders>
              <w:top w:val="single" w:sz="4" w:space="0" w:color="auto"/>
              <w:left w:val="nil"/>
              <w:bottom w:val="nil"/>
              <w:right w:val="nil"/>
            </w:tcBorders>
            <w:vAlign w:val="bottom"/>
          </w:tcPr>
          <w:p w14:paraId="36BA6586" w14:textId="77777777" w:rsidR="00C06755" w:rsidRPr="00C06755" w:rsidRDefault="00C06755" w:rsidP="002316D0">
            <w:pPr>
              <w:autoSpaceDE w:val="0"/>
              <w:autoSpaceDN w:val="0"/>
              <w:adjustRightInd w:val="0"/>
              <w:spacing w:line="276" w:lineRule="auto"/>
              <w:ind w:right="20"/>
              <w:jc w:val="right"/>
              <w:rPr>
                <w:color w:val="000000"/>
                <w:sz w:val="22"/>
                <w:szCs w:val="22"/>
              </w:rPr>
            </w:pPr>
            <w:r w:rsidRPr="00C06755">
              <w:rPr>
                <w:color w:val="000000"/>
                <w:sz w:val="22"/>
                <w:szCs w:val="22"/>
              </w:rPr>
              <w:t>0.460084</w:t>
            </w:r>
          </w:p>
        </w:tc>
        <w:tc>
          <w:tcPr>
            <w:tcW w:w="1150" w:type="dxa"/>
            <w:tcBorders>
              <w:top w:val="single" w:sz="4" w:space="0" w:color="auto"/>
              <w:left w:val="nil"/>
              <w:bottom w:val="nil"/>
              <w:right w:val="nil"/>
            </w:tcBorders>
            <w:vAlign w:val="bottom"/>
          </w:tcPr>
          <w:p w14:paraId="27D5855F" w14:textId="77777777" w:rsidR="00C06755" w:rsidRPr="00C06755" w:rsidRDefault="00C06755" w:rsidP="002316D0">
            <w:pPr>
              <w:autoSpaceDE w:val="0"/>
              <w:autoSpaceDN w:val="0"/>
              <w:adjustRightInd w:val="0"/>
              <w:spacing w:line="276" w:lineRule="auto"/>
              <w:ind w:right="20"/>
              <w:jc w:val="right"/>
              <w:rPr>
                <w:color w:val="000000"/>
                <w:sz w:val="22"/>
                <w:szCs w:val="22"/>
              </w:rPr>
            </w:pPr>
            <w:r w:rsidRPr="00C06755">
              <w:rPr>
                <w:color w:val="000000"/>
                <w:sz w:val="22"/>
                <w:szCs w:val="22"/>
              </w:rPr>
              <w:t>0.685787</w:t>
            </w:r>
          </w:p>
        </w:tc>
        <w:tc>
          <w:tcPr>
            <w:tcW w:w="1504" w:type="dxa"/>
            <w:tcBorders>
              <w:top w:val="single" w:sz="4" w:space="0" w:color="auto"/>
              <w:left w:val="nil"/>
              <w:bottom w:val="nil"/>
              <w:right w:val="nil"/>
            </w:tcBorders>
            <w:vAlign w:val="bottom"/>
          </w:tcPr>
          <w:p w14:paraId="456A501F" w14:textId="77777777" w:rsidR="00C06755" w:rsidRPr="00C06755" w:rsidRDefault="00C06755" w:rsidP="002316D0">
            <w:pPr>
              <w:autoSpaceDE w:val="0"/>
              <w:autoSpaceDN w:val="0"/>
              <w:adjustRightInd w:val="0"/>
              <w:spacing w:line="276" w:lineRule="auto"/>
              <w:ind w:right="20"/>
              <w:jc w:val="right"/>
              <w:rPr>
                <w:color w:val="000000"/>
                <w:sz w:val="22"/>
                <w:szCs w:val="22"/>
              </w:rPr>
            </w:pPr>
            <w:r w:rsidRPr="00C06755">
              <w:rPr>
                <w:color w:val="000000"/>
                <w:sz w:val="22"/>
                <w:szCs w:val="22"/>
              </w:rPr>
              <w:t>0.4939</w:t>
            </w:r>
          </w:p>
        </w:tc>
      </w:tr>
      <w:tr w:rsidR="00C06755" w:rsidRPr="00C06755" w14:paraId="139407A1" w14:textId="77777777" w:rsidTr="0050385F">
        <w:trPr>
          <w:trHeight w:val="220"/>
          <w:jc w:val="center"/>
        </w:trPr>
        <w:tc>
          <w:tcPr>
            <w:tcW w:w="1920" w:type="dxa"/>
            <w:tcBorders>
              <w:top w:val="nil"/>
              <w:left w:val="nil"/>
              <w:bottom w:val="nil"/>
              <w:right w:val="nil"/>
            </w:tcBorders>
            <w:vAlign w:val="bottom"/>
          </w:tcPr>
          <w:p w14:paraId="398EEA6F" w14:textId="77777777" w:rsidR="00C06755" w:rsidRPr="00C06755" w:rsidRDefault="00C06755" w:rsidP="002316D0">
            <w:pPr>
              <w:autoSpaceDE w:val="0"/>
              <w:autoSpaceDN w:val="0"/>
              <w:adjustRightInd w:val="0"/>
              <w:spacing w:line="276" w:lineRule="auto"/>
              <w:jc w:val="center"/>
              <w:rPr>
                <w:color w:val="000000"/>
                <w:sz w:val="22"/>
                <w:szCs w:val="22"/>
              </w:rPr>
            </w:pPr>
            <w:r w:rsidRPr="00C06755">
              <w:rPr>
                <w:color w:val="000000"/>
                <w:sz w:val="22"/>
                <w:szCs w:val="22"/>
              </w:rPr>
              <w:t>LDR</w:t>
            </w:r>
          </w:p>
        </w:tc>
        <w:tc>
          <w:tcPr>
            <w:tcW w:w="1050" w:type="dxa"/>
            <w:tcBorders>
              <w:top w:val="nil"/>
              <w:left w:val="nil"/>
              <w:bottom w:val="nil"/>
              <w:right w:val="nil"/>
            </w:tcBorders>
            <w:vAlign w:val="bottom"/>
          </w:tcPr>
          <w:p w14:paraId="3AC47180" w14:textId="77777777" w:rsidR="00C06755" w:rsidRPr="00C06755" w:rsidRDefault="00C06755" w:rsidP="002316D0">
            <w:pPr>
              <w:autoSpaceDE w:val="0"/>
              <w:autoSpaceDN w:val="0"/>
              <w:adjustRightInd w:val="0"/>
              <w:spacing w:line="276" w:lineRule="auto"/>
              <w:ind w:right="20"/>
              <w:jc w:val="right"/>
              <w:rPr>
                <w:color w:val="000000"/>
                <w:sz w:val="22"/>
                <w:szCs w:val="22"/>
              </w:rPr>
            </w:pPr>
            <w:r w:rsidRPr="00C06755">
              <w:rPr>
                <w:color w:val="000000"/>
                <w:sz w:val="22"/>
                <w:szCs w:val="22"/>
              </w:rPr>
              <w:t>0.429611</w:t>
            </w:r>
          </w:p>
        </w:tc>
        <w:tc>
          <w:tcPr>
            <w:tcW w:w="1150" w:type="dxa"/>
            <w:tcBorders>
              <w:top w:val="nil"/>
              <w:left w:val="nil"/>
              <w:bottom w:val="nil"/>
              <w:right w:val="nil"/>
            </w:tcBorders>
            <w:vAlign w:val="bottom"/>
          </w:tcPr>
          <w:p w14:paraId="1D4318CA" w14:textId="77777777" w:rsidR="00C06755" w:rsidRPr="00C06755" w:rsidRDefault="00C06755" w:rsidP="002316D0">
            <w:pPr>
              <w:autoSpaceDE w:val="0"/>
              <w:autoSpaceDN w:val="0"/>
              <w:adjustRightInd w:val="0"/>
              <w:spacing w:line="276" w:lineRule="auto"/>
              <w:ind w:right="20"/>
              <w:jc w:val="right"/>
              <w:rPr>
                <w:color w:val="000000"/>
                <w:sz w:val="22"/>
                <w:szCs w:val="22"/>
              </w:rPr>
            </w:pPr>
            <w:r w:rsidRPr="00C06755">
              <w:rPr>
                <w:color w:val="000000"/>
                <w:sz w:val="22"/>
                <w:szCs w:val="22"/>
              </w:rPr>
              <w:t>0.049613</w:t>
            </w:r>
          </w:p>
        </w:tc>
        <w:tc>
          <w:tcPr>
            <w:tcW w:w="1150" w:type="dxa"/>
            <w:tcBorders>
              <w:top w:val="nil"/>
              <w:left w:val="nil"/>
              <w:bottom w:val="nil"/>
              <w:right w:val="nil"/>
            </w:tcBorders>
            <w:vAlign w:val="bottom"/>
          </w:tcPr>
          <w:p w14:paraId="321AB654" w14:textId="77777777" w:rsidR="00C06755" w:rsidRPr="00C06755" w:rsidRDefault="00C06755" w:rsidP="002316D0">
            <w:pPr>
              <w:autoSpaceDE w:val="0"/>
              <w:autoSpaceDN w:val="0"/>
              <w:adjustRightInd w:val="0"/>
              <w:spacing w:line="276" w:lineRule="auto"/>
              <w:ind w:right="20"/>
              <w:jc w:val="right"/>
              <w:rPr>
                <w:color w:val="000000"/>
                <w:sz w:val="22"/>
                <w:szCs w:val="22"/>
              </w:rPr>
            </w:pPr>
            <w:r w:rsidRPr="00C06755">
              <w:rPr>
                <w:color w:val="000000"/>
                <w:sz w:val="22"/>
                <w:szCs w:val="22"/>
              </w:rPr>
              <w:t>8.659323</w:t>
            </w:r>
          </w:p>
        </w:tc>
        <w:tc>
          <w:tcPr>
            <w:tcW w:w="1504" w:type="dxa"/>
            <w:tcBorders>
              <w:top w:val="nil"/>
              <w:left w:val="nil"/>
              <w:bottom w:val="nil"/>
              <w:right w:val="nil"/>
            </w:tcBorders>
            <w:vAlign w:val="bottom"/>
          </w:tcPr>
          <w:p w14:paraId="45D19027" w14:textId="77777777" w:rsidR="00C06755" w:rsidRPr="00C06755" w:rsidRDefault="00C06755" w:rsidP="002316D0">
            <w:pPr>
              <w:autoSpaceDE w:val="0"/>
              <w:autoSpaceDN w:val="0"/>
              <w:adjustRightInd w:val="0"/>
              <w:spacing w:line="276" w:lineRule="auto"/>
              <w:ind w:right="20"/>
              <w:jc w:val="right"/>
              <w:rPr>
                <w:color w:val="000000"/>
                <w:sz w:val="22"/>
                <w:szCs w:val="22"/>
              </w:rPr>
            </w:pPr>
            <w:r w:rsidRPr="00C06755">
              <w:rPr>
                <w:color w:val="000000"/>
                <w:sz w:val="22"/>
                <w:szCs w:val="22"/>
              </w:rPr>
              <w:t>0.0000</w:t>
            </w:r>
          </w:p>
        </w:tc>
      </w:tr>
      <w:tr w:rsidR="00C06755" w:rsidRPr="00C06755" w14:paraId="09072607" w14:textId="77777777" w:rsidTr="0050385F">
        <w:trPr>
          <w:trHeight w:val="220"/>
          <w:jc w:val="center"/>
        </w:trPr>
        <w:tc>
          <w:tcPr>
            <w:tcW w:w="1920" w:type="dxa"/>
            <w:tcBorders>
              <w:top w:val="nil"/>
              <w:left w:val="nil"/>
              <w:bottom w:val="nil"/>
              <w:right w:val="nil"/>
            </w:tcBorders>
            <w:vAlign w:val="bottom"/>
          </w:tcPr>
          <w:p w14:paraId="30F56EB3" w14:textId="77777777" w:rsidR="00C06755" w:rsidRPr="00C06755" w:rsidRDefault="00C06755" w:rsidP="002316D0">
            <w:pPr>
              <w:autoSpaceDE w:val="0"/>
              <w:autoSpaceDN w:val="0"/>
              <w:adjustRightInd w:val="0"/>
              <w:spacing w:line="276" w:lineRule="auto"/>
              <w:jc w:val="center"/>
              <w:rPr>
                <w:color w:val="000000"/>
                <w:sz w:val="22"/>
                <w:szCs w:val="22"/>
              </w:rPr>
            </w:pPr>
            <w:r w:rsidRPr="00C06755">
              <w:rPr>
                <w:color w:val="000000"/>
                <w:sz w:val="22"/>
                <w:szCs w:val="22"/>
              </w:rPr>
              <w:t>CAR</w:t>
            </w:r>
          </w:p>
        </w:tc>
        <w:tc>
          <w:tcPr>
            <w:tcW w:w="1050" w:type="dxa"/>
            <w:tcBorders>
              <w:top w:val="nil"/>
              <w:left w:val="nil"/>
              <w:bottom w:val="nil"/>
              <w:right w:val="nil"/>
            </w:tcBorders>
            <w:vAlign w:val="bottom"/>
          </w:tcPr>
          <w:p w14:paraId="52A4A03E" w14:textId="77777777" w:rsidR="00C06755" w:rsidRPr="00C06755" w:rsidRDefault="00C06755" w:rsidP="002316D0">
            <w:pPr>
              <w:autoSpaceDE w:val="0"/>
              <w:autoSpaceDN w:val="0"/>
              <w:adjustRightInd w:val="0"/>
              <w:spacing w:line="276" w:lineRule="auto"/>
              <w:ind w:right="20"/>
              <w:jc w:val="right"/>
              <w:rPr>
                <w:color w:val="000000"/>
                <w:sz w:val="22"/>
                <w:szCs w:val="22"/>
              </w:rPr>
            </w:pPr>
            <w:r w:rsidRPr="00C06755">
              <w:rPr>
                <w:color w:val="000000"/>
                <w:sz w:val="22"/>
                <w:szCs w:val="22"/>
              </w:rPr>
              <w:t>-0.322341</w:t>
            </w:r>
          </w:p>
        </w:tc>
        <w:tc>
          <w:tcPr>
            <w:tcW w:w="1150" w:type="dxa"/>
            <w:tcBorders>
              <w:top w:val="nil"/>
              <w:left w:val="nil"/>
              <w:bottom w:val="nil"/>
              <w:right w:val="nil"/>
            </w:tcBorders>
            <w:vAlign w:val="bottom"/>
          </w:tcPr>
          <w:p w14:paraId="10A454DA" w14:textId="77777777" w:rsidR="00C06755" w:rsidRPr="00C06755" w:rsidRDefault="00C06755" w:rsidP="002316D0">
            <w:pPr>
              <w:autoSpaceDE w:val="0"/>
              <w:autoSpaceDN w:val="0"/>
              <w:adjustRightInd w:val="0"/>
              <w:spacing w:line="276" w:lineRule="auto"/>
              <w:ind w:right="20"/>
              <w:jc w:val="right"/>
              <w:rPr>
                <w:color w:val="000000"/>
                <w:sz w:val="22"/>
                <w:szCs w:val="22"/>
              </w:rPr>
            </w:pPr>
            <w:r w:rsidRPr="00C06755">
              <w:rPr>
                <w:color w:val="000000"/>
                <w:sz w:val="22"/>
                <w:szCs w:val="22"/>
              </w:rPr>
              <w:t>0.125589</w:t>
            </w:r>
          </w:p>
        </w:tc>
        <w:tc>
          <w:tcPr>
            <w:tcW w:w="1150" w:type="dxa"/>
            <w:tcBorders>
              <w:top w:val="nil"/>
              <w:left w:val="nil"/>
              <w:bottom w:val="nil"/>
              <w:right w:val="nil"/>
            </w:tcBorders>
            <w:vAlign w:val="bottom"/>
          </w:tcPr>
          <w:p w14:paraId="0B57D902" w14:textId="77777777" w:rsidR="00C06755" w:rsidRPr="00C06755" w:rsidRDefault="00C06755" w:rsidP="002316D0">
            <w:pPr>
              <w:autoSpaceDE w:val="0"/>
              <w:autoSpaceDN w:val="0"/>
              <w:adjustRightInd w:val="0"/>
              <w:spacing w:line="276" w:lineRule="auto"/>
              <w:ind w:right="20"/>
              <w:jc w:val="right"/>
              <w:rPr>
                <w:color w:val="000000"/>
                <w:sz w:val="22"/>
                <w:szCs w:val="22"/>
              </w:rPr>
            </w:pPr>
            <w:r w:rsidRPr="00C06755">
              <w:rPr>
                <w:color w:val="000000"/>
                <w:sz w:val="22"/>
                <w:szCs w:val="22"/>
              </w:rPr>
              <w:t>-2.566635</w:t>
            </w:r>
          </w:p>
        </w:tc>
        <w:tc>
          <w:tcPr>
            <w:tcW w:w="1504" w:type="dxa"/>
            <w:tcBorders>
              <w:top w:val="nil"/>
              <w:left w:val="nil"/>
              <w:bottom w:val="nil"/>
              <w:right w:val="nil"/>
            </w:tcBorders>
            <w:vAlign w:val="bottom"/>
          </w:tcPr>
          <w:p w14:paraId="442CE2D7" w14:textId="77777777" w:rsidR="00C06755" w:rsidRPr="00C06755" w:rsidRDefault="00C06755" w:rsidP="002316D0">
            <w:pPr>
              <w:autoSpaceDE w:val="0"/>
              <w:autoSpaceDN w:val="0"/>
              <w:adjustRightInd w:val="0"/>
              <w:spacing w:line="276" w:lineRule="auto"/>
              <w:ind w:right="20"/>
              <w:jc w:val="right"/>
              <w:rPr>
                <w:color w:val="000000"/>
                <w:sz w:val="22"/>
                <w:szCs w:val="22"/>
              </w:rPr>
            </w:pPr>
            <w:r w:rsidRPr="00C06755">
              <w:rPr>
                <w:color w:val="000000"/>
                <w:sz w:val="22"/>
                <w:szCs w:val="22"/>
              </w:rPr>
              <w:t>0.0113</w:t>
            </w:r>
          </w:p>
        </w:tc>
      </w:tr>
      <w:tr w:rsidR="00C06755" w:rsidRPr="00C06755" w14:paraId="2962F944" w14:textId="77777777" w:rsidTr="002316D0">
        <w:trPr>
          <w:trHeight w:val="220"/>
          <w:jc w:val="center"/>
        </w:trPr>
        <w:tc>
          <w:tcPr>
            <w:tcW w:w="1920" w:type="dxa"/>
            <w:tcBorders>
              <w:top w:val="nil"/>
              <w:left w:val="nil"/>
              <w:bottom w:val="single" w:sz="4" w:space="0" w:color="auto"/>
              <w:right w:val="nil"/>
            </w:tcBorders>
            <w:vAlign w:val="bottom"/>
          </w:tcPr>
          <w:p w14:paraId="6C84A7F0" w14:textId="77777777" w:rsidR="00C06755" w:rsidRPr="00C06755" w:rsidRDefault="00C06755" w:rsidP="002316D0">
            <w:pPr>
              <w:autoSpaceDE w:val="0"/>
              <w:autoSpaceDN w:val="0"/>
              <w:adjustRightInd w:val="0"/>
              <w:spacing w:line="276" w:lineRule="auto"/>
              <w:jc w:val="center"/>
              <w:rPr>
                <w:color w:val="000000"/>
                <w:sz w:val="22"/>
                <w:szCs w:val="22"/>
              </w:rPr>
            </w:pPr>
            <w:r w:rsidRPr="00C06755">
              <w:rPr>
                <w:color w:val="000000"/>
                <w:sz w:val="22"/>
                <w:szCs w:val="22"/>
              </w:rPr>
              <w:t>INF</w:t>
            </w:r>
          </w:p>
        </w:tc>
        <w:tc>
          <w:tcPr>
            <w:tcW w:w="1050" w:type="dxa"/>
            <w:tcBorders>
              <w:top w:val="nil"/>
              <w:left w:val="nil"/>
              <w:bottom w:val="single" w:sz="4" w:space="0" w:color="auto"/>
              <w:right w:val="nil"/>
            </w:tcBorders>
            <w:vAlign w:val="bottom"/>
          </w:tcPr>
          <w:p w14:paraId="382B9D4C" w14:textId="77777777" w:rsidR="00C06755" w:rsidRPr="00C06755" w:rsidRDefault="00C06755" w:rsidP="002316D0">
            <w:pPr>
              <w:autoSpaceDE w:val="0"/>
              <w:autoSpaceDN w:val="0"/>
              <w:adjustRightInd w:val="0"/>
              <w:spacing w:line="276" w:lineRule="auto"/>
              <w:ind w:right="20"/>
              <w:jc w:val="right"/>
              <w:rPr>
                <w:color w:val="000000"/>
                <w:sz w:val="22"/>
                <w:szCs w:val="22"/>
              </w:rPr>
            </w:pPr>
            <w:r w:rsidRPr="00C06755">
              <w:rPr>
                <w:color w:val="000000"/>
                <w:sz w:val="22"/>
                <w:szCs w:val="22"/>
              </w:rPr>
              <w:t>0.097715</w:t>
            </w:r>
          </w:p>
        </w:tc>
        <w:tc>
          <w:tcPr>
            <w:tcW w:w="1150" w:type="dxa"/>
            <w:tcBorders>
              <w:top w:val="nil"/>
              <w:left w:val="nil"/>
              <w:bottom w:val="single" w:sz="4" w:space="0" w:color="auto"/>
              <w:right w:val="nil"/>
            </w:tcBorders>
            <w:vAlign w:val="bottom"/>
          </w:tcPr>
          <w:p w14:paraId="7C3E30DE" w14:textId="77777777" w:rsidR="00C06755" w:rsidRPr="00C06755" w:rsidRDefault="00C06755" w:rsidP="002316D0">
            <w:pPr>
              <w:autoSpaceDE w:val="0"/>
              <w:autoSpaceDN w:val="0"/>
              <w:adjustRightInd w:val="0"/>
              <w:spacing w:line="276" w:lineRule="auto"/>
              <w:ind w:right="20"/>
              <w:jc w:val="right"/>
              <w:rPr>
                <w:color w:val="000000"/>
                <w:sz w:val="22"/>
                <w:szCs w:val="22"/>
              </w:rPr>
            </w:pPr>
            <w:r w:rsidRPr="00C06755">
              <w:rPr>
                <w:color w:val="000000"/>
                <w:sz w:val="22"/>
                <w:szCs w:val="22"/>
              </w:rPr>
              <w:t>0.144897</w:t>
            </w:r>
          </w:p>
        </w:tc>
        <w:tc>
          <w:tcPr>
            <w:tcW w:w="1150" w:type="dxa"/>
            <w:tcBorders>
              <w:top w:val="nil"/>
              <w:left w:val="nil"/>
              <w:bottom w:val="single" w:sz="4" w:space="0" w:color="auto"/>
              <w:right w:val="nil"/>
            </w:tcBorders>
            <w:vAlign w:val="bottom"/>
          </w:tcPr>
          <w:p w14:paraId="78E5A0B1" w14:textId="77777777" w:rsidR="00C06755" w:rsidRPr="00C06755" w:rsidRDefault="00C06755" w:rsidP="002316D0">
            <w:pPr>
              <w:autoSpaceDE w:val="0"/>
              <w:autoSpaceDN w:val="0"/>
              <w:adjustRightInd w:val="0"/>
              <w:spacing w:line="276" w:lineRule="auto"/>
              <w:ind w:right="20"/>
              <w:jc w:val="right"/>
              <w:rPr>
                <w:color w:val="000000"/>
                <w:sz w:val="22"/>
                <w:szCs w:val="22"/>
              </w:rPr>
            </w:pPr>
            <w:r w:rsidRPr="00C06755">
              <w:rPr>
                <w:color w:val="000000"/>
                <w:sz w:val="22"/>
                <w:szCs w:val="22"/>
              </w:rPr>
              <w:t>0.674375</w:t>
            </w:r>
          </w:p>
        </w:tc>
        <w:tc>
          <w:tcPr>
            <w:tcW w:w="1504" w:type="dxa"/>
            <w:tcBorders>
              <w:top w:val="nil"/>
              <w:left w:val="nil"/>
              <w:bottom w:val="single" w:sz="4" w:space="0" w:color="auto"/>
              <w:right w:val="nil"/>
            </w:tcBorders>
            <w:vAlign w:val="bottom"/>
          </w:tcPr>
          <w:p w14:paraId="1C52A3CF" w14:textId="77777777" w:rsidR="00C06755" w:rsidRPr="00C06755" w:rsidRDefault="00C06755" w:rsidP="002316D0">
            <w:pPr>
              <w:autoSpaceDE w:val="0"/>
              <w:autoSpaceDN w:val="0"/>
              <w:adjustRightInd w:val="0"/>
              <w:spacing w:line="276" w:lineRule="auto"/>
              <w:ind w:right="20"/>
              <w:jc w:val="right"/>
              <w:rPr>
                <w:color w:val="000000"/>
                <w:sz w:val="22"/>
                <w:szCs w:val="22"/>
              </w:rPr>
            </w:pPr>
            <w:r w:rsidRPr="00C06755">
              <w:rPr>
                <w:color w:val="000000"/>
                <w:sz w:val="22"/>
                <w:szCs w:val="22"/>
              </w:rPr>
              <w:t>0.5012</w:t>
            </w:r>
          </w:p>
        </w:tc>
      </w:tr>
    </w:tbl>
    <w:p w14:paraId="0ACD00B0" w14:textId="77777777" w:rsidR="00C06755" w:rsidRDefault="00C06755" w:rsidP="002316D0">
      <w:pPr>
        <w:spacing w:line="276" w:lineRule="auto"/>
        <w:jc w:val="both"/>
        <w:rPr>
          <w:b/>
          <w:bCs/>
          <w:color w:val="0E101A"/>
          <w:szCs w:val="24"/>
          <w:lang w:eastAsia="en-ID"/>
        </w:rPr>
      </w:pPr>
    </w:p>
    <w:p w14:paraId="68257C11" w14:textId="77777777" w:rsidR="00C06755" w:rsidRPr="00020CCF" w:rsidRDefault="00C06755" w:rsidP="002316D0">
      <w:pPr>
        <w:pStyle w:val="Heading1"/>
        <w:suppressAutoHyphens/>
        <w:spacing w:after="60" w:line="276" w:lineRule="auto"/>
        <w:rPr>
          <w:b w:val="0"/>
          <w:sz w:val="24"/>
          <w:szCs w:val="24"/>
          <w:lang w:val="id-ID"/>
        </w:rPr>
      </w:pPr>
      <w:r>
        <w:rPr>
          <w:i w:val="0"/>
          <w:sz w:val="24"/>
          <w:szCs w:val="24"/>
        </w:rPr>
        <w:t xml:space="preserve">4.2 </w:t>
      </w:r>
      <w:r w:rsidRPr="00020CCF">
        <w:rPr>
          <w:i w:val="0"/>
          <w:sz w:val="24"/>
          <w:szCs w:val="24"/>
          <w:lang w:val="id-ID"/>
        </w:rPr>
        <w:t>Discussion</w:t>
      </w:r>
    </w:p>
    <w:p w14:paraId="64155E58" w14:textId="192CD649" w:rsidR="00C06755" w:rsidRPr="00601BE0" w:rsidRDefault="00C06755" w:rsidP="002316D0">
      <w:pPr>
        <w:spacing w:line="276" w:lineRule="auto"/>
        <w:jc w:val="both"/>
        <w:rPr>
          <w:color w:val="0E101A"/>
          <w:szCs w:val="24"/>
          <w:lang w:eastAsia="en-ID"/>
        </w:rPr>
      </w:pPr>
      <w:r w:rsidRPr="00601BE0">
        <w:rPr>
          <w:b/>
          <w:bCs/>
          <w:color w:val="0E101A"/>
          <w:szCs w:val="24"/>
          <w:lang w:eastAsia="en-ID"/>
        </w:rPr>
        <w:t>Effect of Loan-to-Deposit Ratio on Non-Performing Loans (H1)</w:t>
      </w:r>
    </w:p>
    <w:p w14:paraId="22D15101" w14:textId="77777777" w:rsidR="00C06755" w:rsidRPr="00601BE0" w:rsidRDefault="00C06755" w:rsidP="002316D0">
      <w:pPr>
        <w:spacing w:line="276" w:lineRule="auto"/>
        <w:ind w:firstLine="720"/>
        <w:jc w:val="both"/>
        <w:rPr>
          <w:color w:val="0E101A"/>
          <w:szCs w:val="24"/>
          <w:lang w:eastAsia="en-ID"/>
        </w:rPr>
      </w:pPr>
      <w:r w:rsidRPr="00601BE0">
        <w:rPr>
          <w:color w:val="0E101A"/>
          <w:szCs w:val="24"/>
          <w:lang w:eastAsia="en-ID"/>
        </w:rPr>
        <w:t>The loan Deposit ratio has a coefficient value of0.429611and (t) the p-value is 0.0000 &lt;0.05, so it can be interpreted that the Loan to Deposit Ratio has a significant positive effect on Non-Performing Loans. This was due to an increase in third-party funds collected by banks causing banks to distribute more credit, driven by the source of income for commercial banks, most of which came from credit loans. So that the greater the amount of credit disbursed, the greater the risk is borne by the bank and the opportunity for non-performing loans to occur (El-Maude et al., 2017).</w:t>
      </w:r>
    </w:p>
    <w:p w14:paraId="531D5094" w14:textId="77777777" w:rsidR="00C06755" w:rsidRPr="00601BE0" w:rsidRDefault="00C06755" w:rsidP="002316D0">
      <w:pPr>
        <w:spacing w:line="276" w:lineRule="auto"/>
        <w:jc w:val="both"/>
        <w:rPr>
          <w:color w:val="0E101A"/>
          <w:szCs w:val="24"/>
          <w:lang w:eastAsia="en-ID"/>
        </w:rPr>
      </w:pPr>
      <w:r w:rsidRPr="00601BE0">
        <w:rPr>
          <w:b/>
          <w:bCs/>
          <w:color w:val="0E101A"/>
          <w:szCs w:val="24"/>
          <w:lang w:eastAsia="en-ID"/>
        </w:rPr>
        <w:t>Effect of Capital Adequacy Ratio on Non-Performing Loans (H2)</w:t>
      </w:r>
    </w:p>
    <w:p w14:paraId="26A926F8" w14:textId="77777777" w:rsidR="00C06755" w:rsidRPr="00601BE0" w:rsidRDefault="00C06755" w:rsidP="002316D0">
      <w:pPr>
        <w:spacing w:line="276" w:lineRule="auto"/>
        <w:ind w:firstLine="720"/>
        <w:jc w:val="both"/>
        <w:rPr>
          <w:color w:val="0E101A"/>
          <w:szCs w:val="24"/>
          <w:lang w:eastAsia="en-ID"/>
        </w:rPr>
      </w:pPr>
      <w:r w:rsidRPr="00601BE0">
        <w:rPr>
          <w:color w:val="0E101A"/>
          <w:szCs w:val="24"/>
          <w:lang w:eastAsia="en-ID"/>
        </w:rPr>
        <w:t>Capital Adequacy Ratio has a coefficient value of-0.322341and (t) the p-value is 0.0113 &lt;0.05, so it can be interpreted that Capital Adequacy has a significant negative effect on Non-</w:t>
      </w:r>
      <w:r w:rsidRPr="00601BE0">
        <w:rPr>
          <w:color w:val="0E101A"/>
          <w:szCs w:val="24"/>
          <w:lang w:eastAsia="en-ID"/>
        </w:rPr>
        <w:lastRenderedPageBreak/>
        <w:t>Performing Loans. the higher the capital adequacy ratio, the more likely it will be to accommodate the risk of losses faced by banks due to an increase in non-performing financing. So, capital adequacy is a very important factor for banks to accommodate the risk of loss, especially the risk of loss from non-payment (Akbar, 2016).</w:t>
      </w:r>
    </w:p>
    <w:p w14:paraId="0EC90333" w14:textId="3480B30A" w:rsidR="00C06755" w:rsidRPr="00601BE0" w:rsidRDefault="00C06755" w:rsidP="002316D0">
      <w:pPr>
        <w:spacing w:line="276" w:lineRule="auto"/>
        <w:jc w:val="both"/>
        <w:rPr>
          <w:color w:val="0E101A"/>
          <w:szCs w:val="24"/>
          <w:lang w:eastAsia="en-ID"/>
        </w:rPr>
      </w:pPr>
      <w:r w:rsidRPr="00601BE0">
        <w:rPr>
          <w:b/>
          <w:bCs/>
          <w:color w:val="0E101A"/>
          <w:szCs w:val="24"/>
          <w:lang w:eastAsia="en-ID"/>
        </w:rPr>
        <w:t>Effect of Inflation on Non-Performing Loans (H</w:t>
      </w:r>
      <w:r>
        <w:rPr>
          <w:b/>
          <w:bCs/>
          <w:color w:val="0E101A"/>
          <w:szCs w:val="24"/>
          <w:lang w:eastAsia="en-ID"/>
        </w:rPr>
        <w:t>3</w:t>
      </w:r>
      <w:r w:rsidRPr="00601BE0">
        <w:rPr>
          <w:b/>
          <w:bCs/>
          <w:color w:val="0E101A"/>
          <w:szCs w:val="24"/>
          <w:lang w:eastAsia="en-ID"/>
        </w:rPr>
        <w:t>)</w:t>
      </w:r>
    </w:p>
    <w:p w14:paraId="508C67F6" w14:textId="77777777" w:rsidR="00C06755" w:rsidRPr="00601BE0" w:rsidRDefault="00C06755" w:rsidP="002316D0">
      <w:pPr>
        <w:spacing w:after="240" w:line="276" w:lineRule="auto"/>
        <w:ind w:firstLine="720"/>
        <w:jc w:val="both"/>
        <w:rPr>
          <w:color w:val="0E101A"/>
          <w:szCs w:val="24"/>
          <w:lang w:eastAsia="en-ID"/>
        </w:rPr>
      </w:pPr>
      <w:r w:rsidRPr="00601BE0">
        <w:rPr>
          <w:color w:val="0E101A"/>
          <w:szCs w:val="24"/>
          <w:lang w:eastAsia="en-ID"/>
        </w:rPr>
        <w:t xml:space="preserve">Inflation has a coefficient value of0.097715and (t) the p-value is 0.5012 &gt; 0.05, so it can be interpreted that inflation does not affect non-performing loans (NPL). </w:t>
      </w:r>
      <w:proofErr w:type="gramStart"/>
      <w:r w:rsidRPr="00601BE0">
        <w:rPr>
          <w:color w:val="0E101A"/>
          <w:szCs w:val="24"/>
          <w:lang w:eastAsia="en-ID"/>
        </w:rPr>
        <w:t>Thus</w:t>
      </w:r>
      <w:proofErr w:type="gramEnd"/>
      <w:r w:rsidRPr="00601BE0">
        <w:rPr>
          <w:color w:val="0E101A"/>
          <w:szCs w:val="24"/>
          <w:lang w:eastAsia="en-ID"/>
        </w:rPr>
        <w:t xml:space="preserve"> the higher the inflation rate, the level of non-performing financing in a bank will remain stable. This indicates that debtors feel they have a responsibility or commitment to fulfill their obligations in terms of repaying their loans to banks so that even though inflation has increased, non-performing financing at banks has not also increased (Akbar, 2016).</w:t>
      </w:r>
    </w:p>
    <w:p w14:paraId="329939E3" w14:textId="122F3994" w:rsidR="00D73172" w:rsidRDefault="00C06755" w:rsidP="00C06755">
      <w:pPr>
        <w:pStyle w:val="Heading1"/>
        <w:suppressAutoHyphens/>
        <w:spacing w:after="60"/>
        <w:rPr>
          <w:i w:val="0"/>
          <w:sz w:val="24"/>
          <w:szCs w:val="24"/>
        </w:rPr>
      </w:pPr>
      <w:r>
        <w:rPr>
          <w:i w:val="0"/>
          <w:sz w:val="24"/>
          <w:szCs w:val="24"/>
        </w:rPr>
        <w:t xml:space="preserve">5. </w:t>
      </w:r>
      <w:r w:rsidR="008A398D" w:rsidRPr="00020CCF">
        <w:rPr>
          <w:i w:val="0"/>
          <w:sz w:val="24"/>
          <w:szCs w:val="24"/>
          <w:lang w:val="id-ID"/>
        </w:rPr>
        <w:t>Conclusion</w:t>
      </w:r>
      <w:r>
        <w:rPr>
          <w:i w:val="0"/>
          <w:sz w:val="24"/>
          <w:szCs w:val="24"/>
        </w:rPr>
        <w:t xml:space="preserve"> and suggestion</w:t>
      </w:r>
    </w:p>
    <w:p w14:paraId="5125251D" w14:textId="1541EC91" w:rsidR="00C06755" w:rsidRPr="00C06755" w:rsidRDefault="00C06755" w:rsidP="00C06755">
      <w:pPr>
        <w:rPr>
          <w:b/>
          <w:bCs/>
        </w:rPr>
      </w:pPr>
      <w:r w:rsidRPr="00C06755">
        <w:rPr>
          <w:b/>
          <w:bCs/>
        </w:rPr>
        <w:t>5.1 Conclusion</w:t>
      </w:r>
    </w:p>
    <w:p w14:paraId="3DE5748E" w14:textId="4E484BC0" w:rsidR="00C06755" w:rsidRDefault="00C06755" w:rsidP="002316D0">
      <w:pPr>
        <w:spacing w:after="240" w:line="276" w:lineRule="auto"/>
        <w:ind w:firstLine="360"/>
        <w:jc w:val="both"/>
        <w:rPr>
          <w:color w:val="0E101A"/>
          <w:szCs w:val="24"/>
          <w:lang w:eastAsia="en-ID"/>
        </w:rPr>
      </w:pPr>
      <w:r w:rsidRPr="00601BE0">
        <w:rPr>
          <w:color w:val="0E101A"/>
          <w:szCs w:val="24"/>
          <w:lang w:eastAsia="en-ID"/>
        </w:rPr>
        <w:t>Loan to Deposit Ratio</w:t>
      </w:r>
      <w:r>
        <w:rPr>
          <w:i/>
          <w:iCs/>
          <w:color w:val="0E101A"/>
          <w:szCs w:val="24"/>
          <w:lang w:eastAsia="en-ID"/>
        </w:rPr>
        <w:t xml:space="preserve"> </w:t>
      </w:r>
      <w:r w:rsidRPr="00601BE0">
        <w:rPr>
          <w:color w:val="0E101A"/>
          <w:szCs w:val="24"/>
          <w:lang w:eastAsia="en-ID"/>
        </w:rPr>
        <w:t xml:space="preserve">significant positive effect on Non-Performing Loans in banking companies listed on the Indonesia Stock Exchange. The Capital Adequacy Ratio has a significant negative effect on Non-Performing Loans in banking companies listed on the Indonesia Stock Exchange. Inflation has no effect on non-performing loans in banking companies listed on the Indonesia Stock Exchange. </w:t>
      </w:r>
    </w:p>
    <w:p w14:paraId="01827BE1" w14:textId="09E9B398" w:rsidR="00C06755" w:rsidRDefault="00C06755" w:rsidP="002316D0">
      <w:pPr>
        <w:jc w:val="both"/>
        <w:rPr>
          <w:b/>
          <w:bCs/>
          <w:color w:val="0E101A"/>
          <w:szCs w:val="24"/>
          <w:lang w:eastAsia="en-ID"/>
        </w:rPr>
      </w:pPr>
      <w:r w:rsidRPr="002316D0">
        <w:rPr>
          <w:b/>
          <w:bCs/>
          <w:color w:val="0E101A"/>
          <w:szCs w:val="24"/>
          <w:lang w:eastAsia="en-ID"/>
        </w:rPr>
        <w:t>5.2</w:t>
      </w:r>
      <w:r w:rsidR="002316D0" w:rsidRPr="002316D0">
        <w:rPr>
          <w:b/>
          <w:bCs/>
          <w:color w:val="0E101A"/>
          <w:szCs w:val="24"/>
          <w:lang w:eastAsia="en-ID"/>
        </w:rPr>
        <w:t xml:space="preserve"> Suggestion</w:t>
      </w:r>
    </w:p>
    <w:p w14:paraId="192D4274" w14:textId="27AE7407" w:rsidR="002316D0" w:rsidRPr="002316D0" w:rsidRDefault="002316D0" w:rsidP="002316D0">
      <w:pPr>
        <w:spacing w:after="240" w:line="276" w:lineRule="auto"/>
        <w:ind w:firstLine="360"/>
        <w:jc w:val="both"/>
        <w:rPr>
          <w:color w:val="0E101A"/>
          <w:szCs w:val="24"/>
          <w:lang w:eastAsia="en-ID"/>
        </w:rPr>
      </w:pPr>
      <w:r w:rsidRPr="002316D0">
        <w:rPr>
          <w:color w:val="0E101A"/>
          <w:szCs w:val="24"/>
          <w:lang w:eastAsia="en-ID"/>
        </w:rPr>
        <w:t>For further research, it is recommended to add or use independent variables of internal factors and other external factors that have not been studied in this study, such as Return on Assets (ROA), Third Party Funds (DPK) for internal factors. Then, the Composite Stock Price Index (IHSG), Gross Domestic Product (GDP), Exchange Rates, Credit Volume for external factors. So that you can see the conditions that are different and the latest.</w:t>
      </w:r>
    </w:p>
    <w:p w14:paraId="11D6880D" w14:textId="1945C79E" w:rsidR="00C06755" w:rsidRPr="00C06755" w:rsidRDefault="00C06755" w:rsidP="00C06755">
      <w:pPr>
        <w:pStyle w:val="ListParagraph"/>
        <w:numPr>
          <w:ilvl w:val="0"/>
          <w:numId w:val="12"/>
        </w:numPr>
        <w:jc w:val="both"/>
        <w:rPr>
          <w:b/>
          <w:bCs/>
          <w:color w:val="0E101A"/>
          <w:szCs w:val="24"/>
          <w:lang w:eastAsia="en-ID"/>
        </w:rPr>
      </w:pPr>
      <w:r w:rsidRPr="00C06755">
        <w:rPr>
          <w:b/>
          <w:bCs/>
          <w:color w:val="0E101A"/>
          <w:szCs w:val="24"/>
          <w:lang w:eastAsia="en-ID"/>
        </w:rPr>
        <w:t>References</w:t>
      </w:r>
    </w:p>
    <w:p w14:paraId="6E2E11CB" w14:textId="77777777" w:rsidR="00C06755" w:rsidRDefault="00C06755" w:rsidP="00C06755">
      <w:pPr>
        <w:spacing w:line="276" w:lineRule="auto"/>
        <w:ind w:left="567" w:hanging="567"/>
        <w:jc w:val="both"/>
        <w:rPr>
          <w:szCs w:val="24"/>
        </w:rPr>
      </w:pPr>
      <w:r w:rsidRPr="00957C1A">
        <w:rPr>
          <w:szCs w:val="24"/>
        </w:rPr>
        <w:t xml:space="preserve">Akbar, M, A., </w:t>
      </w:r>
      <w:proofErr w:type="gramStart"/>
      <w:r w:rsidRPr="00957C1A">
        <w:rPr>
          <w:szCs w:val="24"/>
        </w:rPr>
        <w:t>Setiawati,.</w:t>
      </w:r>
      <w:proofErr w:type="gramEnd"/>
      <w:r w:rsidRPr="00957C1A">
        <w:rPr>
          <w:szCs w:val="24"/>
        </w:rPr>
        <w:t xml:space="preserve"> (2022). </w:t>
      </w:r>
      <w:proofErr w:type="spellStart"/>
      <w:r w:rsidRPr="00435D8F">
        <w:rPr>
          <w:szCs w:val="24"/>
        </w:rPr>
        <w:t>Analisis</w:t>
      </w:r>
      <w:proofErr w:type="spellEnd"/>
      <w:r w:rsidRPr="00435D8F">
        <w:rPr>
          <w:szCs w:val="24"/>
        </w:rPr>
        <w:t xml:space="preserve"> </w:t>
      </w:r>
      <w:proofErr w:type="spellStart"/>
      <w:r w:rsidRPr="00435D8F">
        <w:rPr>
          <w:szCs w:val="24"/>
        </w:rPr>
        <w:t>Pengaruh</w:t>
      </w:r>
      <w:proofErr w:type="spellEnd"/>
      <w:r w:rsidRPr="00435D8F">
        <w:rPr>
          <w:szCs w:val="24"/>
        </w:rPr>
        <w:t xml:space="preserve"> Faktor Internal dan </w:t>
      </w:r>
      <w:proofErr w:type="spellStart"/>
      <w:r w:rsidRPr="00435D8F">
        <w:rPr>
          <w:szCs w:val="24"/>
        </w:rPr>
        <w:t>Eksternal</w:t>
      </w:r>
      <w:proofErr w:type="spellEnd"/>
      <w:r w:rsidRPr="00435D8F">
        <w:rPr>
          <w:szCs w:val="24"/>
        </w:rPr>
        <w:t xml:space="preserve"> pada </w:t>
      </w:r>
      <w:proofErr w:type="gramStart"/>
      <w:r w:rsidRPr="00435D8F">
        <w:rPr>
          <w:szCs w:val="24"/>
        </w:rPr>
        <w:t>Non Performing</w:t>
      </w:r>
      <w:proofErr w:type="gramEnd"/>
      <w:r w:rsidRPr="00435D8F">
        <w:rPr>
          <w:szCs w:val="24"/>
        </w:rPr>
        <w:t xml:space="preserve"> Loan </w:t>
      </w:r>
      <w:r w:rsidRPr="00957C1A">
        <w:rPr>
          <w:szCs w:val="24"/>
        </w:rPr>
        <w:t xml:space="preserve">(NPL). </w:t>
      </w:r>
      <w:proofErr w:type="spellStart"/>
      <w:r w:rsidRPr="00435D8F">
        <w:rPr>
          <w:i/>
          <w:iCs/>
          <w:szCs w:val="24"/>
        </w:rPr>
        <w:t>Jurnal</w:t>
      </w:r>
      <w:proofErr w:type="spellEnd"/>
      <w:r w:rsidRPr="00435D8F">
        <w:rPr>
          <w:i/>
          <w:iCs/>
          <w:szCs w:val="24"/>
        </w:rPr>
        <w:t xml:space="preserve"> Ek</w:t>
      </w:r>
      <w:r>
        <w:rPr>
          <w:i/>
          <w:iCs/>
          <w:szCs w:val="24"/>
        </w:rPr>
        <w:t>ono</w:t>
      </w:r>
      <w:r w:rsidRPr="00435D8F">
        <w:rPr>
          <w:i/>
          <w:iCs/>
          <w:szCs w:val="24"/>
        </w:rPr>
        <w:t xml:space="preserve">mi dan </w:t>
      </w:r>
      <w:proofErr w:type="spellStart"/>
      <w:r w:rsidRPr="00435D8F">
        <w:rPr>
          <w:i/>
          <w:iCs/>
          <w:szCs w:val="24"/>
        </w:rPr>
        <w:t>Bisnis</w:t>
      </w:r>
      <w:proofErr w:type="spellEnd"/>
      <w:r w:rsidRPr="00957C1A">
        <w:rPr>
          <w:szCs w:val="24"/>
        </w:rPr>
        <w:t>. 11 (1), 1309-1319.</w:t>
      </w:r>
    </w:p>
    <w:p w14:paraId="786D85FD" w14:textId="77777777" w:rsidR="00C06755" w:rsidRPr="00957C1A" w:rsidRDefault="00C06755" w:rsidP="00C06755">
      <w:pPr>
        <w:spacing w:line="276" w:lineRule="auto"/>
        <w:ind w:left="567" w:hanging="567"/>
        <w:jc w:val="both"/>
        <w:rPr>
          <w:szCs w:val="24"/>
        </w:rPr>
      </w:pPr>
      <w:r w:rsidRPr="00957C1A">
        <w:rPr>
          <w:szCs w:val="24"/>
        </w:rPr>
        <w:t xml:space="preserve">Barus, A. C., &amp; Erick. (2016). </w:t>
      </w:r>
      <w:proofErr w:type="spellStart"/>
      <w:r w:rsidRPr="00957C1A">
        <w:rPr>
          <w:szCs w:val="24"/>
        </w:rPr>
        <w:t>Analisis</w:t>
      </w:r>
      <w:proofErr w:type="spellEnd"/>
      <w:r w:rsidRPr="00957C1A">
        <w:rPr>
          <w:szCs w:val="24"/>
        </w:rPr>
        <w:t xml:space="preserve"> Faktor-Faktor Yang </w:t>
      </w:r>
      <w:proofErr w:type="spellStart"/>
      <w:r w:rsidRPr="00957C1A">
        <w:rPr>
          <w:szCs w:val="24"/>
        </w:rPr>
        <w:t>Mempengaruhi</w:t>
      </w:r>
      <w:proofErr w:type="spellEnd"/>
      <w:r w:rsidRPr="00957C1A">
        <w:rPr>
          <w:szCs w:val="24"/>
        </w:rPr>
        <w:t xml:space="preserve"> </w:t>
      </w:r>
      <w:proofErr w:type="gramStart"/>
      <w:r w:rsidRPr="00435D8F">
        <w:rPr>
          <w:szCs w:val="24"/>
        </w:rPr>
        <w:t>Non Performing</w:t>
      </w:r>
      <w:proofErr w:type="gramEnd"/>
      <w:r w:rsidRPr="00435D8F">
        <w:rPr>
          <w:szCs w:val="24"/>
        </w:rPr>
        <w:t xml:space="preserve"> Loan pada Bank Umum Di Indonesia</w:t>
      </w:r>
      <w:r w:rsidRPr="00957C1A">
        <w:rPr>
          <w:szCs w:val="24"/>
        </w:rPr>
        <w:t xml:space="preserve">. </w:t>
      </w:r>
      <w:proofErr w:type="spellStart"/>
      <w:r w:rsidRPr="00435D8F">
        <w:rPr>
          <w:i/>
          <w:iCs/>
          <w:szCs w:val="24"/>
        </w:rPr>
        <w:t>Jurnal</w:t>
      </w:r>
      <w:proofErr w:type="spellEnd"/>
      <w:r w:rsidRPr="00435D8F">
        <w:rPr>
          <w:i/>
          <w:iCs/>
          <w:szCs w:val="24"/>
        </w:rPr>
        <w:t xml:space="preserve"> Wira Ekonomi </w:t>
      </w:r>
      <w:proofErr w:type="spellStart"/>
      <w:r w:rsidRPr="00435D8F">
        <w:rPr>
          <w:i/>
          <w:iCs/>
          <w:szCs w:val="24"/>
        </w:rPr>
        <w:t>Mikroskil</w:t>
      </w:r>
      <w:proofErr w:type="spellEnd"/>
      <w:r w:rsidRPr="00435D8F">
        <w:rPr>
          <w:i/>
          <w:iCs/>
          <w:szCs w:val="24"/>
        </w:rPr>
        <w:t>,</w:t>
      </w:r>
      <w:r w:rsidRPr="00957C1A">
        <w:rPr>
          <w:szCs w:val="24"/>
        </w:rPr>
        <w:t xml:space="preserve"> 6(2), 113–122. </w:t>
      </w:r>
    </w:p>
    <w:p w14:paraId="1CBA34D2" w14:textId="77777777" w:rsidR="00C06755" w:rsidRDefault="00C06755" w:rsidP="00C06755">
      <w:pPr>
        <w:spacing w:line="276" w:lineRule="auto"/>
        <w:ind w:left="567" w:hanging="567"/>
        <w:jc w:val="both"/>
        <w:rPr>
          <w:szCs w:val="24"/>
        </w:rPr>
      </w:pPr>
      <w:proofErr w:type="spellStart"/>
      <w:r w:rsidRPr="00957C1A">
        <w:rPr>
          <w:szCs w:val="24"/>
        </w:rPr>
        <w:t>Bengawan</w:t>
      </w:r>
      <w:proofErr w:type="spellEnd"/>
      <w:r w:rsidRPr="00957C1A">
        <w:rPr>
          <w:szCs w:val="24"/>
        </w:rPr>
        <w:t xml:space="preserve">, C. H., &amp; </w:t>
      </w:r>
      <w:proofErr w:type="spellStart"/>
      <w:r w:rsidRPr="00957C1A">
        <w:rPr>
          <w:szCs w:val="24"/>
        </w:rPr>
        <w:t>Ruslim</w:t>
      </w:r>
      <w:proofErr w:type="spellEnd"/>
      <w:r w:rsidRPr="00957C1A">
        <w:rPr>
          <w:szCs w:val="24"/>
        </w:rPr>
        <w:t>, H. (2020).</w:t>
      </w:r>
      <w:r w:rsidRPr="00435D8F">
        <w:rPr>
          <w:szCs w:val="24"/>
        </w:rPr>
        <w:t xml:space="preserve"> The Effect </w:t>
      </w:r>
      <w:proofErr w:type="gramStart"/>
      <w:r w:rsidRPr="00435D8F">
        <w:rPr>
          <w:szCs w:val="24"/>
        </w:rPr>
        <w:t>Of</w:t>
      </w:r>
      <w:proofErr w:type="gramEnd"/>
      <w:r w:rsidRPr="00435D8F">
        <w:rPr>
          <w:szCs w:val="24"/>
        </w:rPr>
        <w:t xml:space="preserve"> Capital Aset And Liability Ratio On Non- Performing Loan. </w:t>
      </w:r>
      <w:proofErr w:type="spellStart"/>
      <w:r w:rsidRPr="00435D8F">
        <w:rPr>
          <w:i/>
          <w:iCs/>
          <w:szCs w:val="24"/>
        </w:rPr>
        <w:t>Jurnal</w:t>
      </w:r>
      <w:proofErr w:type="spellEnd"/>
      <w:r w:rsidRPr="00435D8F">
        <w:rPr>
          <w:i/>
          <w:iCs/>
          <w:szCs w:val="24"/>
        </w:rPr>
        <w:t xml:space="preserve"> </w:t>
      </w:r>
      <w:proofErr w:type="spellStart"/>
      <w:r w:rsidRPr="00435D8F">
        <w:rPr>
          <w:i/>
          <w:iCs/>
          <w:szCs w:val="24"/>
        </w:rPr>
        <w:t>Akuntansi</w:t>
      </w:r>
      <w:proofErr w:type="spellEnd"/>
      <w:r w:rsidRPr="00435D8F">
        <w:rPr>
          <w:i/>
          <w:iCs/>
          <w:szCs w:val="24"/>
        </w:rPr>
        <w:t>,</w:t>
      </w:r>
      <w:r w:rsidRPr="00957C1A">
        <w:rPr>
          <w:szCs w:val="24"/>
        </w:rPr>
        <w:t xml:space="preserve"> 23(3), 433-448. </w:t>
      </w:r>
      <w:hyperlink r:id="rId14" w:history="1">
        <w:r w:rsidRPr="00F31767">
          <w:rPr>
            <w:rStyle w:val="Hyperlink"/>
            <w:color w:val="000000" w:themeColor="text1"/>
            <w:szCs w:val="24"/>
          </w:rPr>
          <w:t>https://Doi.Org/10.24912/Ja.V23i3.612</w:t>
        </w:r>
      </w:hyperlink>
      <w:r w:rsidRPr="00F31767">
        <w:rPr>
          <w:color w:val="000000" w:themeColor="text1"/>
          <w:szCs w:val="24"/>
        </w:rPr>
        <w:t>.</w:t>
      </w:r>
    </w:p>
    <w:p w14:paraId="2E892426" w14:textId="77777777" w:rsidR="00C06755" w:rsidRDefault="00C06755" w:rsidP="00C06755">
      <w:pPr>
        <w:pStyle w:val="TableParagraph"/>
        <w:tabs>
          <w:tab w:val="left" w:pos="1223"/>
        </w:tabs>
        <w:spacing w:line="276" w:lineRule="auto"/>
        <w:ind w:left="567" w:right="110" w:hanging="567"/>
        <w:jc w:val="both"/>
        <w:rPr>
          <w:sz w:val="24"/>
          <w:szCs w:val="24"/>
        </w:rPr>
      </w:pPr>
      <w:r w:rsidRPr="00957C1A">
        <w:rPr>
          <w:sz w:val="24"/>
          <w:szCs w:val="24"/>
          <w:lang w:val="en-US"/>
        </w:rPr>
        <w:t xml:space="preserve">Cahyono, L, T &amp; </w:t>
      </w:r>
      <w:proofErr w:type="spellStart"/>
      <w:r w:rsidRPr="00957C1A">
        <w:rPr>
          <w:sz w:val="24"/>
          <w:szCs w:val="24"/>
          <w:lang w:val="en-US"/>
        </w:rPr>
        <w:t>Suzuda</w:t>
      </w:r>
      <w:proofErr w:type="spellEnd"/>
      <w:r w:rsidRPr="00957C1A">
        <w:rPr>
          <w:sz w:val="24"/>
          <w:szCs w:val="24"/>
          <w:lang w:val="en-US"/>
        </w:rPr>
        <w:t xml:space="preserve">, </w:t>
      </w:r>
      <w:proofErr w:type="gramStart"/>
      <w:r w:rsidRPr="00957C1A">
        <w:rPr>
          <w:sz w:val="24"/>
          <w:szCs w:val="24"/>
          <w:lang w:val="en-US"/>
        </w:rPr>
        <w:t>f,.</w:t>
      </w:r>
      <w:proofErr w:type="gramEnd"/>
      <w:r w:rsidRPr="00957C1A">
        <w:rPr>
          <w:sz w:val="24"/>
          <w:szCs w:val="24"/>
          <w:lang w:val="en-US"/>
        </w:rPr>
        <w:t xml:space="preserve"> (2022)</w:t>
      </w:r>
      <w:proofErr w:type="gramStart"/>
      <w:r w:rsidRPr="00957C1A">
        <w:rPr>
          <w:sz w:val="24"/>
          <w:szCs w:val="24"/>
          <w:lang w:val="en-US"/>
        </w:rPr>
        <w:t>,.</w:t>
      </w:r>
      <w:r w:rsidRPr="006D2A12">
        <w:rPr>
          <w:sz w:val="24"/>
          <w:szCs w:val="24"/>
          <w:lang w:val="en-US"/>
        </w:rPr>
        <w:t>Determinant</w:t>
      </w:r>
      <w:proofErr w:type="gramEnd"/>
      <w:r w:rsidRPr="006D2A12">
        <w:rPr>
          <w:sz w:val="24"/>
          <w:szCs w:val="24"/>
          <w:lang w:val="en-US"/>
        </w:rPr>
        <w:t xml:space="preserve"> Factors of Non Performing Loan in Indonesia Commercial Banks</w:t>
      </w:r>
      <w:r w:rsidRPr="00957C1A">
        <w:rPr>
          <w:i/>
          <w:iCs/>
          <w:sz w:val="24"/>
          <w:szCs w:val="24"/>
          <w:lang w:val="en-US"/>
        </w:rPr>
        <w:t xml:space="preserve">. </w:t>
      </w:r>
      <w:r w:rsidRPr="00013E9E">
        <w:rPr>
          <w:i/>
          <w:iCs/>
          <w:sz w:val="24"/>
          <w:szCs w:val="24"/>
        </w:rPr>
        <w:t>Jurnal Bisnis, Manajemen dan Teknososiopreneur</w:t>
      </w:r>
      <w:r w:rsidRPr="00013E9E">
        <w:rPr>
          <w:i/>
          <w:iCs/>
          <w:sz w:val="24"/>
          <w:szCs w:val="24"/>
          <w:lang w:val="en-US"/>
        </w:rPr>
        <w:t>,</w:t>
      </w:r>
      <w:r>
        <w:rPr>
          <w:sz w:val="24"/>
          <w:szCs w:val="24"/>
          <w:lang w:val="en-US"/>
        </w:rPr>
        <w:t xml:space="preserve"> 1 (</w:t>
      </w:r>
      <w:r w:rsidRPr="00957C1A">
        <w:rPr>
          <w:sz w:val="24"/>
          <w:szCs w:val="24"/>
        </w:rPr>
        <w:t>1</w:t>
      </w:r>
      <w:r>
        <w:rPr>
          <w:sz w:val="24"/>
          <w:szCs w:val="24"/>
          <w:lang w:val="en-US"/>
        </w:rPr>
        <w:t>)</w:t>
      </w:r>
      <w:r w:rsidRPr="00957C1A">
        <w:rPr>
          <w:sz w:val="24"/>
          <w:szCs w:val="24"/>
        </w:rPr>
        <w:t>, doi: 10.31326/BIMTEK.V1I1.1253</w:t>
      </w:r>
    </w:p>
    <w:p w14:paraId="5E3C80B2" w14:textId="77777777" w:rsidR="00C06755" w:rsidRDefault="00C06755" w:rsidP="00C06755">
      <w:pPr>
        <w:spacing w:line="276" w:lineRule="auto"/>
        <w:ind w:left="567" w:hanging="567"/>
        <w:jc w:val="both"/>
        <w:rPr>
          <w:szCs w:val="24"/>
        </w:rPr>
      </w:pPr>
      <w:proofErr w:type="spellStart"/>
      <w:r w:rsidRPr="00957C1A">
        <w:rPr>
          <w:szCs w:val="24"/>
        </w:rPr>
        <w:lastRenderedPageBreak/>
        <w:t>Dewanto</w:t>
      </w:r>
      <w:proofErr w:type="spellEnd"/>
      <w:r w:rsidRPr="00957C1A">
        <w:rPr>
          <w:szCs w:val="24"/>
        </w:rPr>
        <w:t xml:space="preserve">, Bayu dan </w:t>
      </w:r>
      <w:proofErr w:type="spellStart"/>
      <w:r w:rsidRPr="00957C1A">
        <w:rPr>
          <w:szCs w:val="24"/>
        </w:rPr>
        <w:t>Sudjono</w:t>
      </w:r>
      <w:proofErr w:type="spellEnd"/>
      <w:r w:rsidRPr="00957C1A">
        <w:rPr>
          <w:spacing w:val="1"/>
          <w:szCs w:val="24"/>
        </w:rPr>
        <w:t xml:space="preserve"> </w:t>
      </w:r>
      <w:r w:rsidRPr="00957C1A">
        <w:rPr>
          <w:szCs w:val="24"/>
        </w:rPr>
        <w:t>(2022),</w:t>
      </w:r>
      <w:r w:rsidRPr="00957C1A">
        <w:rPr>
          <w:spacing w:val="1"/>
          <w:szCs w:val="24"/>
        </w:rPr>
        <w:t xml:space="preserve"> </w:t>
      </w:r>
      <w:proofErr w:type="spellStart"/>
      <w:r w:rsidRPr="00013E9E">
        <w:rPr>
          <w:iCs/>
          <w:szCs w:val="24"/>
        </w:rPr>
        <w:t>Ananlysis</w:t>
      </w:r>
      <w:proofErr w:type="spellEnd"/>
      <w:r w:rsidRPr="00013E9E">
        <w:rPr>
          <w:iCs/>
          <w:szCs w:val="24"/>
        </w:rPr>
        <w:t xml:space="preserve"> of Macroeconomic Factors Affecting Non-Performing Loans in Multinational Banking </w:t>
      </w:r>
      <w:proofErr w:type="gramStart"/>
      <w:r w:rsidRPr="00013E9E">
        <w:rPr>
          <w:iCs/>
          <w:szCs w:val="24"/>
        </w:rPr>
        <w:t>In</w:t>
      </w:r>
      <w:proofErr w:type="gramEnd"/>
      <w:r w:rsidRPr="00013E9E">
        <w:rPr>
          <w:iCs/>
          <w:szCs w:val="24"/>
        </w:rPr>
        <w:t xml:space="preserve"> Indonesia.</w:t>
      </w:r>
      <w:r w:rsidRPr="00957C1A">
        <w:rPr>
          <w:szCs w:val="24"/>
        </w:rPr>
        <w:t xml:space="preserve"> </w:t>
      </w:r>
      <w:r w:rsidRPr="00957C1A">
        <w:rPr>
          <w:i/>
          <w:iCs/>
          <w:szCs w:val="24"/>
        </w:rPr>
        <w:t>International</w:t>
      </w:r>
      <w:r w:rsidRPr="00957C1A">
        <w:rPr>
          <w:i/>
          <w:iCs/>
          <w:spacing w:val="94"/>
          <w:szCs w:val="24"/>
        </w:rPr>
        <w:t xml:space="preserve"> </w:t>
      </w:r>
      <w:r w:rsidRPr="00957C1A">
        <w:rPr>
          <w:i/>
          <w:iCs/>
          <w:szCs w:val="24"/>
        </w:rPr>
        <w:t>Journal</w:t>
      </w:r>
      <w:r w:rsidRPr="00957C1A">
        <w:rPr>
          <w:i/>
          <w:iCs/>
          <w:spacing w:val="93"/>
          <w:szCs w:val="24"/>
        </w:rPr>
        <w:t xml:space="preserve"> </w:t>
      </w:r>
      <w:r w:rsidRPr="00957C1A">
        <w:rPr>
          <w:i/>
          <w:iCs/>
          <w:szCs w:val="24"/>
        </w:rPr>
        <w:t>of</w:t>
      </w:r>
      <w:r w:rsidRPr="00957C1A">
        <w:rPr>
          <w:i/>
          <w:iCs/>
          <w:spacing w:val="90"/>
          <w:szCs w:val="24"/>
        </w:rPr>
        <w:t xml:space="preserve"> </w:t>
      </w:r>
      <w:r w:rsidRPr="00957C1A">
        <w:rPr>
          <w:i/>
          <w:iCs/>
          <w:szCs w:val="24"/>
        </w:rPr>
        <w:t>Innovative Science and Research Technology</w:t>
      </w:r>
      <w:r w:rsidRPr="00957C1A">
        <w:rPr>
          <w:szCs w:val="24"/>
        </w:rPr>
        <w:t>, 7</w:t>
      </w:r>
      <w:r>
        <w:rPr>
          <w:szCs w:val="24"/>
        </w:rPr>
        <w:t xml:space="preserve"> (</w:t>
      </w:r>
      <w:r w:rsidRPr="00957C1A">
        <w:rPr>
          <w:szCs w:val="24"/>
        </w:rPr>
        <w:t>11</w:t>
      </w:r>
      <w:r>
        <w:rPr>
          <w:szCs w:val="24"/>
        </w:rPr>
        <w:t>).</w:t>
      </w:r>
    </w:p>
    <w:p w14:paraId="52222406" w14:textId="77777777" w:rsidR="00C06755" w:rsidRDefault="00C06755" w:rsidP="00C06755">
      <w:pPr>
        <w:spacing w:line="276" w:lineRule="auto"/>
        <w:ind w:left="567" w:hanging="567"/>
        <w:jc w:val="both"/>
        <w:rPr>
          <w:szCs w:val="24"/>
        </w:rPr>
      </w:pPr>
      <w:r w:rsidRPr="00957C1A">
        <w:rPr>
          <w:szCs w:val="24"/>
        </w:rPr>
        <w:t xml:space="preserve">El-Maude, J. G., Abdul-Rehman, A., and Ibrahim, M. (2017). </w:t>
      </w:r>
      <w:r w:rsidRPr="00013E9E">
        <w:rPr>
          <w:szCs w:val="24"/>
        </w:rPr>
        <w:t>Determinants of Non-Performing Loans in Nigeria’s Deposit Money Banks.</w:t>
      </w:r>
      <w:r w:rsidRPr="004F287A">
        <w:rPr>
          <w:i/>
          <w:iCs/>
          <w:szCs w:val="24"/>
        </w:rPr>
        <w:t xml:space="preserve"> Archives of Business Research.</w:t>
      </w:r>
      <w:r w:rsidRPr="00957C1A">
        <w:rPr>
          <w:szCs w:val="24"/>
        </w:rPr>
        <w:t xml:space="preserve"> 5(1), 74-88.</w:t>
      </w:r>
    </w:p>
    <w:p w14:paraId="02CCE196" w14:textId="77777777" w:rsidR="00C06755" w:rsidRDefault="00C06755" w:rsidP="00C06755">
      <w:pPr>
        <w:spacing w:line="276" w:lineRule="auto"/>
        <w:ind w:left="567" w:hanging="567"/>
        <w:jc w:val="both"/>
        <w:rPr>
          <w:szCs w:val="24"/>
        </w:rPr>
      </w:pPr>
      <w:proofErr w:type="spellStart"/>
      <w:r w:rsidRPr="00957C1A">
        <w:rPr>
          <w:szCs w:val="24"/>
        </w:rPr>
        <w:t>Harimurti</w:t>
      </w:r>
      <w:proofErr w:type="spellEnd"/>
      <w:r w:rsidRPr="00957C1A">
        <w:rPr>
          <w:szCs w:val="24"/>
        </w:rPr>
        <w:t xml:space="preserve">, C, </w:t>
      </w:r>
      <w:proofErr w:type="spellStart"/>
      <w:r w:rsidRPr="00957C1A">
        <w:rPr>
          <w:szCs w:val="24"/>
        </w:rPr>
        <w:t>Pandoyo</w:t>
      </w:r>
      <w:proofErr w:type="spellEnd"/>
      <w:r w:rsidRPr="00957C1A">
        <w:rPr>
          <w:szCs w:val="24"/>
        </w:rPr>
        <w:t xml:space="preserve">, Sofyan, </w:t>
      </w:r>
      <w:proofErr w:type="gramStart"/>
      <w:r w:rsidRPr="00957C1A">
        <w:rPr>
          <w:szCs w:val="24"/>
        </w:rPr>
        <w:t>M,.</w:t>
      </w:r>
      <w:proofErr w:type="gramEnd"/>
      <w:r w:rsidRPr="00957C1A">
        <w:rPr>
          <w:szCs w:val="24"/>
        </w:rPr>
        <w:t xml:space="preserve"> </w:t>
      </w:r>
      <w:proofErr w:type="gramStart"/>
      <w:r w:rsidRPr="00957C1A">
        <w:rPr>
          <w:szCs w:val="24"/>
        </w:rPr>
        <w:t>( 2022</w:t>
      </w:r>
      <w:proofErr w:type="gramEnd"/>
      <w:r w:rsidRPr="00957C1A">
        <w:rPr>
          <w:szCs w:val="24"/>
        </w:rPr>
        <w:t>).</w:t>
      </w:r>
      <w:r w:rsidRPr="00DC2552">
        <w:rPr>
          <w:szCs w:val="24"/>
        </w:rPr>
        <w:t xml:space="preserve"> Factors Affecting Non-Performing Loans </w:t>
      </w:r>
      <w:proofErr w:type="gramStart"/>
      <w:r w:rsidRPr="00DC2552">
        <w:rPr>
          <w:szCs w:val="24"/>
        </w:rPr>
        <w:t>In</w:t>
      </w:r>
      <w:proofErr w:type="gramEnd"/>
      <w:r w:rsidRPr="00DC2552">
        <w:rPr>
          <w:szCs w:val="24"/>
        </w:rPr>
        <w:t xml:space="preserve"> State Owned Banking</w:t>
      </w:r>
      <w:r w:rsidRPr="002F0B32">
        <w:rPr>
          <w:i/>
          <w:iCs/>
          <w:szCs w:val="24"/>
        </w:rPr>
        <w:t xml:space="preserve">. International </w:t>
      </w:r>
      <w:proofErr w:type="spellStart"/>
      <w:r w:rsidRPr="002F0B32">
        <w:rPr>
          <w:i/>
          <w:iCs/>
          <w:szCs w:val="24"/>
        </w:rPr>
        <w:t>Jounal</w:t>
      </w:r>
      <w:proofErr w:type="spellEnd"/>
      <w:r w:rsidRPr="002F0B32">
        <w:rPr>
          <w:i/>
          <w:iCs/>
          <w:szCs w:val="24"/>
        </w:rPr>
        <w:t xml:space="preserve"> of Economics and Business and </w:t>
      </w:r>
      <w:proofErr w:type="spellStart"/>
      <w:r w:rsidRPr="002F0B32">
        <w:rPr>
          <w:i/>
          <w:iCs/>
          <w:szCs w:val="24"/>
        </w:rPr>
        <w:t>Accouanting</w:t>
      </w:r>
      <w:proofErr w:type="spellEnd"/>
      <w:r w:rsidRPr="002F0B32">
        <w:rPr>
          <w:i/>
          <w:iCs/>
          <w:szCs w:val="24"/>
        </w:rPr>
        <w:t xml:space="preserve"> Research </w:t>
      </w:r>
      <w:r w:rsidRPr="000849C7">
        <w:rPr>
          <w:szCs w:val="24"/>
        </w:rPr>
        <w:t>(IJEBAR</w:t>
      </w:r>
      <w:r w:rsidRPr="002F0B32">
        <w:rPr>
          <w:i/>
          <w:iCs/>
          <w:szCs w:val="24"/>
        </w:rPr>
        <w:t xml:space="preserve">). </w:t>
      </w:r>
      <w:r w:rsidRPr="00957C1A">
        <w:rPr>
          <w:szCs w:val="24"/>
        </w:rPr>
        <w:t>6(2), 958-967.</w:t>
      </w:r>
    </w:p>
    <w:p w14:paraId="08F6DE15" w14:textId="77777777" w:rsidR="00C06755" w:rsidRPr="000D325B" w:rsidRDefault="00C06755" w:rsidP="00C06755">
      <w:pPr>
        <w:spacing w:line="276" w:lineRule="auto"/>
        <w:ind w:left="567" w:hanging="567"/>
        <w:jc w:val="both"/>
        <w:rPr>
          <w:szCs w:val="24"/>
          <w:shd w:val="clear" w:color="auto" w:fill="FFFFFF"/>
        </w:rPr>
      </w:pPr>
      <w:r w:rsidRPr="00957C1A">
        <w:rPr>
          <w:szCs w:val="24"/>
        </w:rPr>
        <w:t xml:space="preserve">Khan, M, A., Siddique, A., </w:t>
      </w:r>
      <w:proofErr w:type="gramStart"/>
      <w:r w:rsidRPr="00957C1A">
        <w:rPr>
          <w:szCs w:val="24"/>
        </w:rPr>
        <w:t>&amp;  and</w:t>
      </w:r>
      <w:proofErr w:type="gramEnd"/>
      <w:r w:rsidRPr="00957C1A">
        <w:rPr>
          <w:szCs w:val="24"/>
        </w:rPr>
        <w:t xml:space="preserve"> Sarwar, P, Z., (2020) </w:t>
      </w:r>
      <w:r w:rsidRPr="002F47D7">
        <w:rPr>
          <w:szCs w:val="24"/>
        </w:rPr>
        <w:t>Determinants of non-performing loans in the banking sector in developing state.</w:t>
      </w:r>
      <w:r w:rsidRPr="00957C1A">
        <w:rPr>
          <w:i/>
          <w:iCs/>
          <w:szCs w:val="24"/>
        </w:rPr>
        <w:t xml:space="preserve"> Asian Journal of Accounting Research</w:t>
      </w:r>
      <w:r>
        <w:rPr>
          <w:szCs w:val="24"/>
        </w:rPr>
        <w:t xml:space="preserve"> </w:t>
      </w:r>
      <w:r w:rsidRPr="00957C1A">
        <w:rPr>
          <w:szCs w:val="24"/>
        </w:rPr>
        <w:t xml:space="preserve">5 </w:t>
      </w:r>
      <w:r>
        <w:rPr>
          <w:szCs w:val="24"/>
        </w:rPr>
        <w:t>(</w:t>
      </w:r>
      <w:r w:rsidRPr="00957C1A">
        <w:rPr>
          <w:szCs w:val="24"/>
        </w:rPr>
        <w:t>1</w:t>
      </w:r>
      <w:r>
        <w:rPr>
          <w:szCs w:val="24"/>
        </w:rPr>
        <w:t xml:space="preserve">), </w:t>
      </w:r>
      <w:r w:rsidRPr="00957C1A">
        <w:rPr>
          <w:szCs w:val="24"/>
        </w:rPr>
        <w:t xml:space="preserve">135-145 </w:t>
      </w:r>
      <w:r w:rsidRPr="0039645E">
        <w:rPr>
          <w:i/>
          <w:iCs/>
          <w:szCs w:val="24"/>
        </w:rPr>
        <w:t>Emerald Publishing Limited</w:t>
      </w:r>
      <w:r w:rsidRPr="00957C1A">
        <w:rPr>
          <w:szCs w:val="24"/>
        </w:rPr>
        <w:t xml:space="preserve"> 2443-4175 DOI 10.1108/AJAR-10-2019-008 </w:t>
      </w:r>
    </w:p>
    <w:p w14:paraId="01B29404" w14:textId="77777777" w:rsidR="00C06755" w:rsidRDefault="00C06755" w:rsidP="00C06755">
      <w:pPr>
        <w:spacing w:line="276" w:lineRule="auto"/>
        <w:ind w:left="567" w:hanging="567"/>
        <w:jc w:val="both"/>
        <w:rPr>
          <w:szCs w:val="24"/>
        </w:rPr>
      </w:pPr>
      <w:proofErr w:type="spellStart"/>
      <w:r w:rsidRPr="00957C1A">
        <w:rPr>
          <w:szCs w:val="24"/>
        </w:rPr>
        <w:t>Laskarsari</w:t>
      </w:r>
      <w:proofErr w:type="spellEnd"/>
      <w:r w:rsidRPr="00957C1A">
        <w:rPr>
          <w:szCs w:val="24"/>
        </w:rPr>
        <w:t xml:space="preserve">, P. H. (2021). </w:t>
      </w:r>
      <w:proofErr w:type="spellStart"/>
      <w:r w:rsidRPr="00957C1A">
        <w:rPr>
          <w:szCs w:val="24"/>
        </w:rPr>
        <w:t>Pengaruh</w:t>
      </w:r>
      <w:proofErr w:type="spellEnd"/>
      <w:r w:rsidRPr="00957C1A">
        <w:rPr>
          <w:szCs w:val="24"/>
        </w:rPr>
        <w:t xml:space="preserve"> </w:t>
      </w:r>
      <w:proofErr w:type="spellStart"/>
      <w:r w:rsidRPr="00957C1A">
        <w:rPr>
          <w:szCs w:val="24"/>
        </w:rPr>
        <w:t>Inflasi</w:t>
      </w:r>
      <w:proofErr w:type="spellEnd"/>
      <w:r w:rsidRPr="00957C1A">
        <w:rPr>
          <w:szCs w:val="24"/>
        </w:rPr>
        <w:t xml:space="preserve">, Capital Adequacy Ratio, Gross Domestic Product dan Suku Bunga Bank </w:t>
      </w:r>
      <w:proofErr w:type="spellStart"/>
      <w:r w:rsidRPr="00957C1A">
        <w:rPr>
          <w:szCs w:val="24"/>
        </w:rPr>
        <w:t>Terhadap</w:t>
      </w:r>
      <w:proofErr w:type="spellEnd"/>
      <w:r w:rsidRPr="00957C1A">
        <w:rPr>
          <w:szCs w:val="24"/>
        </w:rPr>
        <w:t xml:space="preserve"> </w:t>
      </w:r>
      <w:proofErr w:type="gramStart"/>
      <w:r w:rsidRPr="00957C1A">
        <w:rPr>
          <w:szCs w:val="24"/>
        </w:rPr>
        <w:t>Non Performing</w:t>
      </w:r>
      <w:proofErr w:type="gramEnd"/>
      <w:r w:rsidRPr="00957C1A">
        <w:rPr>
          <w:szCs w:val="24"/>
        </w:rPr>
        <w:t xml:space="preserve"> Loan Pada Bank BUMN Di Indonesia. Hayam </w:t>
      </w:r>
      <w:proofErr w:type="spellStart"/>
      <w:r w:rsidRPr="00957C1A">
        <w:rPr>
          <w:szCs w:val="24"/>
        </w:rPr>
        <w:t>Wuruk</w:t>
      </w:r>
      <w:proofErr w:type="spellEnd"/>
      <w:r w:rsidRPr="00957C1A">
        <w:rPr>
          <w:szCs w:val="24"/>
        </w:rPr>
        <w:t xml:space="preserve"> </w:t>
      </w:r>
      <w:proofErr w:type="spellStart"/>
      <w:r w:rsidRPr="00957C1A">
        <w:rPr>
          <w:szCs w:val="24"/>
        </w:rPr>
        <w:t>Perbanas</w:t>
      </w:r>
      <w:proofErr w:type="spellEnd"/>
      <w:r w:rsidRPr="00957C1A">
        <w:rPr>
          <w:szCs w:val="24"/>
        </w:rPr>
        <w:t>, 21, (1), 6.</w:t>
      </w:r>
    </w:p>
    <w:p w14:paraId="3AE51365" w14:textId="77777777" w:rsidR="00C06755" w:rsidRPr="00957C1A" w:rsidRDefault="00C06755" w:rsidP="00C06755">
      <w:pPr>
        <w:spacing w:line="276" w:lineRule="auto"/>
        <w:ind w:left="567" w:hanging="567"/>
        <w:jc w:val="both"/>
        <w:rPr>
          <w:szCs w:val="24"/>
        </w:rPr>
      </w:pPr>
      <w:proofErr w:type="spellStart"/>
      <w:r w:rsidRPr="00957C1A">
        <w:rPr>
          <w:szCs w:val="24"/>
        </w:rPr>
        <w:t>Mattunruang</w:t>
      </w:r>
      <w:proofErr w:type="spellEnd"/>
      <w:r w:rsidRPr="00957C1A">
        <w:rPr>
          <w:szCs w:val="24"/>
        </w:rPr>
        <w:t xml:space="preserve">, A, A (2023). </w:t>
      </w:r>
      <w:proofErr w:type="spellStart"/>
      <w:r w:rsidRPr="006E7DDB">
        <w:rPr>
          <w:szCs w:val="24"/>
        </w:rPr>
        <w:t>Pengaruh</w:t>
      </w:r>
      <w:proofErr w:type="spellEnd"/>
      <w:r w:rsidRPr="006E7DDB">
        <w:rPr>
          <w:szCs w:val="24"/>
        </w:rPr>
        <w:t xml:space="preserve"> </w:t>
      </w:r>
      <w:proofErr w:type="gramStart"/>
      <w:r w:rsidRPr="006E7DDB">
        <w:rPr>
          <w:szCs w:val="24"/>
        </w:rPr>
        <w:t>Non Performing</w:t>
      </w:r>
      <w:proofErr w:type="gramEnd"/>
      <w:r w:rsidRPr="006E7DDB">
        <w:rPr>
          <w:szCs w:val="24"/>
        </w:rPr>
        <w:t xml:space="preserve"> Loans (NPL) </w:t>
      </w:r>
      <w:proofErr w:type="spellStart"/>
      <w:r w:rsidRPr="006E7DDB">
        <w:rPr>
          <w:szCs w:val="24"/>
        </w:rPr>
        <w:t>Terhadap</w:t>
      </w:r>
      <w:proofErr w:type="spellEnd"/>
      <w:r w:rsidRPr="006E7DDB">
        <w:rPr>
          <w:szCs w:val="24"/>
        </w:rPr>
        <w:t xml:space="preserve"> </w:t>
      </w:r>
      <w:proofErr w:type="spellStart"/>
      <w:r w:rsidRPr="006E7DDB">
        <w:rPr>
          <w:szCs w:val="24"/>
        </w:rPr>
        <w:t>Profitabilitas</w:t>
      </w:r>
      <w:proofErr w:type="spellEnd"/>
      <w:r w:rsidRPr="006E7DDB">
        <w:rPr>
          <w:szCs w:val="24"/>
        </w:rPr>
        <w:t xml:space="preserve"> (Studi </w:t>
      </w:r>
      <w:proofErr w:type="spellStart"/>
      <w:r w:rsidRPr="006E7DDB">
        <w:rPr>
          <w:szCs w:val="24"/>
        </w:rPr>
        <w:t>Empiris</w:t>
      </w:r>
      <w:proofErr w:type="spellEnd"/>
      <w:r w:rsidRPr="006E7DDB">
        <w:rPr>
          <w:szCs w:val="24"/>
        </w:rPr>
        <w:t xml:space="preserve"> </w:t>
      </w:r>
      <w:proofErr w:type="spellStart"/>
      <w:r w:rsidRPr="006E7DDB">
        <w:rPr>
          <w:szCs w:val="24"/>
        </w:rPr>
        <w:t>dari</w:t>
      </w:r>
      <w:proofErr w:type="spellEnd"/>
      <w:r w:rsidRPr="006E7DDB">
        <w:rPr>
          <w:szCs w:val="24"/>
        </w:rPr>
        <w:t xml:space="preserve"> Bank </w:t>
      </w:r>
      <w:proofErr w:type="spellStart"/>
      <w:r w:rsidRPr="006E7DDB">
        <w:rPr>
          <w:szCs w:val="24"/>
        </w:rPr>
        <w:t>Komersial</w:t>
      </w:r>
      <w:proofErr w:type="spellEnd"/>
      <w:r w:rsidRPr="006E7DDB">
        <w:rPr>
          <w:szCs w:val="24"/>
        </w:rPr>
        <w:t xml:space="preserve"> Yang </w:t>
      </w:r>
      <w:proofErr w:type="spellStart"/>
      <w:r w:rsidRPr="006E7DDB">
        <w:rPr>
          <w:szCs w:val="24"/>
        </w:rPr>
        <w:t>Terdaftar</w:t>
      </w:r>
      <w:proofErr w:type="spellEnd"/>
      <w:r w:rsidRPr="006E7DDB">
        <w:rPr>
          <w:szCs w:val="24"/>
        </w:rPr>
        <w:t xml:space="preserve"> Di Bursa </w:t>
      </w:r>
      <w:proofErr w:type="spellStart"/>
      <w:r w:rsidRPr="006E7DDB">
        <w:rPr>
          <w:szCs w:val="24"/>
        </w:rPr>
        <w:t>Efek</w:t>
      </w:r>
      <w:proofErr w:type="spellEnd"/>
      <w:r w:rsidRPr="006E7DDB">
        <w:rPr>
          <w:szCs w:val="24"/>
        </w:rPr>
        <w:t xml:space="preserve"> Indonesia </w:t>
      </w:r>
      <w:proofErr w:type="spellStart"/>
      <w:r w:rsidRPr="006E7DDB">
        <w:rPr>
          <w:szCs w:val="24"/>
        </w:rPr>
        <w:t>Periode</w:t>
      </w:r>
      <w:proofErr w:type="spellEnd"/>
      <w:r w:rsidRPr="006E7DDB">
        <w:rPr>
          <w:szCs w:val="24"/>
        </w:rPr>
        <w:t xml:space="preserve"> 2019-2022).</w:t>
      </w:r>
      <w:r w:rsidRPr="00957C1A">
        <w:rPr>
          <w:i/>
          <w:iCs/>
          <w:szCs w:val="24"/>
        </w:rPr>
        <w:t xml:space="preserve"> </w:t>
      </w:r>
      <w:proofErr w:type="spellStart"/>
      <w:r w:rsidRPr="00957C1A">
        <w:rPr>
          <w:i/>
          <w:iCs/>
          <w:szCs w:val="24"/>
        </w:rPr>
        <w:t>Jurnal</w:t>
      </w:r>
      <w:proofErr w:type="spellEnd"/>
      <w:r w:rsidRPr="00957C1A">
        <w:rPr>
          <w:i/>
          <w:iCs/>
          <w:szCs w:val="24"/>
        </w:rPr>
        <w:t xml:space="preserve"> </w:t>
      </w:r>
      <w:proofErr w:type="spellStart"/>
      <w:r w:rsidRPr="00957C1A">
        <w:rPr>
          <w:i/>
          <w:iCs/>
          <w:szCs w:val="24"/>
        </w:rPr>
        <w:t>Ekonomektriks</w:t>
      </w:r>
      <w:proofErr w:type="spellEnd"/>
      <w:r w:rsidRPr="00957C1A">
        <w:rPr>
          <w:i/>
          <w:iCs/>
          <w:szCs w:val="24"/>
        </w:rPr>
        <w:t xml:space="preserve"> (Ekonomi, </w:t>
      </w:r>
      <w:proofErr w:type="spellStart"/>
      <w:r w:rsidRPr="00957C1A">
        <w:rPr>
          <w:i/>
          <w:iCs/>
          <w:szCs w:val="24"/>
        </w:rPr>
        <w:t>Manajemen</w:t>
      </w:r>
      <w:proofErr w:type="spellEnd"/>
      <w:r w:rsidRPr="00957C1A">
        <w:rPr>
          <w:i/>
          <w:iCs/>
          <w:szCs w:val="24"/>
        </w:rPr>
        <w:t xml:space="preserve">, </w:t>
      </w:r>
      <w:proofErr w:type="spellStart"/>
      <w:r w:rsidRPr="00957C1A">
        <w:rPr>
          <w:i/>
          <w:iCs/>
          <w:szCs w:val="24"/>
        </w:rPr>
        <w:t>Akuntansi</w:t>
      </w:r>
      <w:proofErr w:type="spellEnd"/>
      <w:r w:rsidRPr="00957C1A">
        <w:rPr>
          <w:i/>
          <w:iCs/>
          <w:szCs w:val="24"/>
        </w:rPr>
        <w:t xml:space="preserve">), </w:t>
      </w:r>
      <w:r w:rsidRPr="00957C1A">
        <w:rPr>
          <w:szCs w:val="24"/>
        </w:rPr>
        <w:t>6 (1), 52-60.</w:t>
      </w:r>
    </w:p>
    <w:p w14:paraId="0125CBE3" w14:textId="77777777" w:rsidR="00C06755" w:rsidRDefault="00C06755" w:rsidP="00C06755">
      <w:pPr>
        <w:spacing w:line="276" w:lineRule="auto"/>
        <w:ind w:left="567" w:hanging="567"/>
        <w:rPr>
          <w:i/>
          <w:szCs w:val="24"/>
        </w:rPr>
      </w:pPr>
      <w:r w:rsidRPr="00957C1A">
        <w:rPr>
          <w:szCs w:val="24"/>
          <w:lang w:val="id"/>
        </w:rPr>
        <w:t xml:space="preserve">Naibaho, K. (2018). Pengaruh GDP, Inflasi, BI Rate, Nilai Tukar Terhadap Non Performing Loan Bank Umum Konvensional di Indonesia. </w:t>
      </w:r>
      <w:r w:rsidRPr="00957C1A">
        <w:rPr>
          <w:i/>
          <w:szCs w:val="24"/>
          <w:lang w:val="id"/>
        </w:rPr>
        <w:t xml:space="preserve">Jurnal Administrasi Bisnis, </w:t>
      </w:r>
      <w:r w:rsidRPr="00516EC5">
        <w:rPr>
          <w:iCs/>
          <w:szCs w:val="24"/>
          <w:lang w:val="id"/>
        </w:rPr>
        <w:t>62</w:t>
      </w:r>
      <w:r w:rsidRPr="00516EC5">
        <w:rPr>
          <w:iCs/>
          <w:szCs w:val="24"/>
        </w:rPr>
        <w:t xml:space="preserve"> (2), 85-101</w:t>
      </w:r>
      <w:r>
        <w:rPr>
          <w:i/>
          <w:szCs w:val="24"/>
        </w:rPr>
        <w:t>.</w:t>
      </w:r>
    </w:p>
    <w:p w14:paraId="220B7DE9" w14:textId="77777777" w:rsidR="00C06755" w:rsidRDefault="00C06755" w:rsidP="00C06755">
      <w:pPr>
        <w:spacing w:line="276" w:lineRule="auto"/>
        <w:ind w:left="567" w:hanging="567"/>
        <w:jc w:val="both"/>
        <w:rPr>
          <w:szCs w:val="24"/>
        </w:rPr>
      </w:pPr>
      <w:proofErr w:type="spellStart"/>
      <w:r w:rsidRPr="00957C1A">
        <w:rPr>
          <w:szCs w:val="24"/>
        </w:rPr>
        <w:t>Ozili</w:t>
      </w:r>
      <w:proofErr w:type="spellEnd"/>
      <w:r w:rsidRPr="00957C1A">
        <w:rPr>
          <w:szCs w:val="24"/>
        </w:rPr>
        <w:t xml:space="preserve">, Peterson K. 2017. </w:t>
      </w:r>
      <w:r w:rsidRPr="00C72E97">
        <w:rPr>
          <w:szCs w:val="24"/>
        </w:rPr>
        <w:t>Non-performing loans and Financial Development: New Evidence.</w:t>
      </w:r>
      <w:r w:rsidRPr="000642A1">
        <w:rPr>
          <w:i/>
          <w:iCs/>
          <w:szCs w:val="24"/>
        </w:rPr>
        <w:t xml:space="preserve"> Journal of Risk Finance,</w:t>
      </w:r>
      <w:r w:rsidRPr="00957C1A">
        <w:rPr>
          <w:szCs w:val="24"/>
        </w:rPr>
        <w:t xml:space="preserve"> 20 </w:t>
      </w:r>
      <w:r>
        <w:rPr>
          <w:szCs w:val="24"/>
        </w:rPr>
        <w:t>(</w:t>
      </w:r>
      <w:r w:rsidRPr="00957C1A">
        <w:rPr>
          <w:szCs w:val="24"/>
        </w:rPr>
        <w:t>1</w:t>
      </w:r>
      <w:r>
        <w:rPr>
          <w:szCs w:val="24"/>
        </w:rPr>
        <w:t>)</w:t>
      </w:r>
      <w:r w:rsidRPr="00957C1A">
        <w:rPr>
          <w:szCs w:val="24"/>
        </w:rPr>
        <w:t>, 59-81.</w:t>
      </w:r>
    </w:p>
    <w:p w14:paraId="2DEA2133" w14:textId="77777777" w:rsidR="00C06755" w:rsidRDefault="00C06755" w:rsidP="00C06755">
      <w:pPr>
        <w:spacing w:line="276" w:lineRule="auto"/>
        <w:ind w:left="567" w:hanging="567"/>
        <w:jc w:val="both"/>
        <w:rPr>
          <w:szCs w:val="24"/>
        </w:rPr>
      </w:pPr>
      <w:r w:rsidRPr="00957C1A">
        <w:rPr>
          <w:szCs w:val="24"/>
        </w:rPr>
        <w:t xml:space="preserve">Putri, L, T, C, &amp; </w:t>
      </w:r>
      <w:proofErr w:type="spellStart"/>
      <w:r w:rsidRPr="00957C1A">
        <w:rPr>
          <w:szCs w:val="24"/>
        </w:rPr>
        <w:t>Pohan</w:t>
      </w:r>
      <w:proofErr w:type="spellEnd"/>
      <w:r w:rsidRPr="00957C1A">
        <w:rPr>
          <w:szCs w:val="24"/>
        </w:rPr>
        <w:t xml:space="preserve">, F, S. (2022). </w:t>
      </w:r>
      <w:r w:rsidRPr="00DF0187">
        <w:rPr>
          <w:szCs w:val="24"/>
        </w:rPr>
        <w:t>Determinant Factors of Non-Performing Loan in Indonesian Commercial Banks.</w:t>
      </w:r>
      <w:r w:rsidRPr="00957C1A">
        <w:rPr>
          <w:i/>
          <w:iCs/>
          <w:szCs w:val="24"/>
        </w:rPr>
        <w:t xml:space="preserve"> </w:t>
      </w:r>
      <w:proofErr w:type="spellStart"/>
      <w:r w:rsidRPr="00DF0187">
        <w:rPr>
          <w:i/>
          <w:iCs/>
          <w:szCs w:val="24"/>
        </w:rPr>
        <w:t>Jurnal</w:t>
      </w:r>
      <w:proofErr w:type="spellEnd"/>
      <w:r w:rsidRPr="00DF0187">
        <w:rPr>
          <w:i/>
          <w:iCs/>
          <w:szCs w:val="24"/>
        </w:rPr>
        <w:t xml:space="preserve"> </w:t>
      </w:r>
      <w:proofErr w:type="spellStart"/>
      <w:r w:rsidRPr="00DF0187">
        <w:rPr>
          <w:i/>
          <w:iCs/>
          <w:szCs w:val="24"/>
        </w:rPr>
        <w:t>Bisnis</w:t>
      </w:r>
      <w:proofErr w:type="spellEnd"/>
      <w:r w:rsidRPr="00DF0187">
        <w:rPr>
          <w:i/>
          <w:iCs/>
          <w:szCs w:val="24"/>
        </w:rPr>
        <w:t xml:space="preserve">, </w:t>
      </w:r>
      <w:proofErr w:type="spellStart"/>
      <w:r w:rsidRPr="00DF0187">
        <w:rPr>
          <w:i/>
          <w:iCs/>
          <w:szCs w:val="24"/>
        </w:rPr>
        <w:t>Manajemen</w:t>
      </w:r>
      <w:proofErr w:type="spellEnd"/>
      <w:r w:rsidRPr="00DF0187">
        <w:rPr>
          <w:i/>
          <w:iCs/>
          <w:szCs w:val="24"/>
        </w:rPr>
        <w:t xml:space="preserve"> dan </w:t>
      </w:r>
      <w:proofErr w:type="spellStart"/>
      <w:r w:rsidRPr="00DF0187">
        <w:rPr>
          <w:i/>
          <w:iCs/>
          <w:szCs w:val="24"/>
        </w:rPr>
        <w:t>Teknososiopreneur</w:t>
      </w:r>
      <w:proofErr w:type="spellEnd"/>
      <w:r w:rsidRPr="00DF0187">
        <w:rPr>
          <w:i/>
          <w:iCs/>
          <w:szCs w:val="24"/>
        </w:rPr>
        <w:t>.</w:t>
      </w:r>
      <w:r w:rsidRPr="00957C1A">
        <w:rPr>
          <w:szCs w:val="24"/>
        </w:rPr>
        <w:t xml:space="preserve"> 1 </w:t>
      </w:r>
      <w:r>
        <w:rPr>
          <w:szCs w:val="24"/>
        </w:rPr>
        <w:t>(</w:t>
      </w:r>
      <w:r w:rsidRPr="00957C1A">
        <w:rPr>
          <w:szCs w:val="24"/>
        </w:rPr>
        <w:t>1</w:t>
      </w:r>
      <w:r>
        <w:rPr>
          <w:szCs w:val="24"/>
        </w:rPr>
        <w:t>)</w:t>
      </w:r>
      <w:r w:rsidRPr="00957C1A">
        <w:rPr>
          <w:szCs w:val="24"/>
        </w:rPr>
        <w:t>,</w:t>
      </w:r>
      <w:r>
        <w:rPr>
          <w:szCs w:val="24"/>
        </w:rPr>
        <w:t xml:space="preserve"> </w:t>
      </w:r>
      <w:proofErr w:type="spellStart"/>
      <w:r w:rsidRPr="00957C1A">
        <w:rPr>
          <w:szCs w:val="24"/>
        </w:rPr>
        <w:t>doi</w:t>
      </w:r>
      <w:proofErr w:type="spellEnd"/>
      <w:r w:rsidRPr="00957C1A">
        <w:rPr>
          <w:szCs w:val="24"/>
        </w:rPr>
        <w:t>: 10.31326/BIMTEK.V1I1.125</w:t>
      </w:r>
    </w:p>
    <w:p w14:paraId="0A08606F" w14:textId="77777777" w:rsidR="00C06755" w:rsidRDefault="00C06755" w:rsidP="00C06755">
      <w:pPr>
        <w:spacing w:line="276" w:lineRule="auto"/>
        <w:ind w:left="567" w:hanging="567"/>
        <w:jc w:val="both"/>
        <w:rPr>
          <w:szCs w:val="24"/>
        </w:rPr>
      </w:pPr>
      <w:proofErr w:type="spellStart"/>
      <w:r w:rsidRPr="00957C1A">
        <w:rPr>
          <w:szCs w:val="24"/>
        </w:rPr>
        <w:t>Rabbanin</w:t>
      </w:r>
      <w:proofErr w:type="spellEnd"/>
      <w:r w:rsidRPr="00957C1A">
        <w:rPr>
          <w:szCs w:val="24"/>
        </w:rPr>
        <w:t xml:space="preserve">, M, N &amp; </w:t>
      </w:r>
      <w:proofErr w:type="spellStart"/>
      <w:r w:rsidRPr="00957C1A">
        <w:rPr>
          <w:szCs w:val="24"/>
        </w:rPr>
        <w:t>Rahadian</w:t>
      </w:r>
      <w:proofErr w:type="spellEnd"/>
      <w:r w:rsidRPr="00957C1A">
        <w:rPr>
          <w:szCs w:val="24"/>
        </w:rPr>
        <w:t xml:space="preserve">, D. (2022). Faktor-Faktor Yang </w:t>
      </w:r>
      <w:proofErr w:type="spellStart"/>
      <w:r w:rsidRPr="00957C1A">
        <w:rPr>
          <w:szCs w:val="24"/>
        </w:rPr>
        <w:t>Berpengaruh</w:t>
      </w:r>
      <w:proofErr w:type="spellEnd"/>
      <w:r w:rsidRPr="00957C1A">
        <w:rPr>
          <w:szCs w:val="24"/>
        </w:rPr>
        <w:t xml:space="preserve"> </w:t>
      </w:r>
      <w:proofErr w:type="spellStart"/>
      <w:r w:rsidRPr="00957C1A">
        <w:rPr>
          <w:szCs w:val="24"/>
        </w:rPr>
        <w:t>Terhadap</w:t>
      </w:r>
      <w:proofErr w:type="spellEnd"/>
      <w:r w:rsidRPr="00957C1A">
        <w:rPr>
          <w:szCs w:val="24"/>
        </w:rPr>
        <w:t xml:space="preserve"> NPL Bank BUMN. </w:t>
      </w:r>
      <w:r w:rsidRPr="00957C1A">
        <w:rPr>
          <w:i/>
          <w:iCs/>
          <w:szCs w:val="24"/>
        </w:rPr>
        <w:t xml:space="preserve">Journal of Management </w:t>
      </w:r>
      <w:proofErr w:type="spellStart"/>
      <w:r w:rsidRPr="00957C1A">
        <w:rPr>
          <w:i/>
          <w:iCs/>
          <w:szCs w:val="24"/>
        </w:rPr>
        <w:t>Bussiness</w:t>
      </w:r>
      <w:proofErr w:type="spellEnd"/>
      <w:r w:rsidRPr="00957C1A">
        <w:rPr>
          <w:szCs w:val="24"/>
        </w:rPr>
        <w:t>.</w:t>
      </w:r>
      <w:r>
        <w:rPr>
          <w:szCs w:val="24"/>
        </w:rPr>
        <w:t xml:space="preserve"> </w:t>
      </w:r>
      <w:r w:rsidRPr="00957C1A">
        <w:rPr>
          <w:szCs w:val="24"/>
        </w:rPr>
        <w:t xml:space="preserve">5 (1), 444-450, </w:t>
      </w:r>
      <w:proofErr w:type="spellStart"/>
      <w:r w:rsidRPr="00957C1A">
        <w:rPr>
          <w:szCs w:val="24"/>
        </w:rPr>
        <w:t>doi</w:t>
      </w:r>
      <w:proofErr w:type="spellEnd"/>
      <w:r w:rsidRPr="00957C1A">
        <w:rPr>
          <w:szCs w:val="24"/>
        </w:rPr>
        <w:t xml:space="preserve">: </w:t>
      </w:r>
      <w:hyperlink r:id="rId15" w:history="1">
        <w:r w:rsidRPr="00F31767">
          <w:rPr>
            <w:rStyle w:val="Hyperlink"/>
            <w:color w:val="000000" w:themeColor="text1"/>
            <w:szCs w:val="24"/>
          </w:rPr>
          <w:t>https://doi.org/10.37531/sejaman.v5i2.2326</w:t>
        </w:r>
      </w:hyperlink>
    </w:p>
    <w:p w14:paraId="7E68354F" w14:textId="77777777" w:rsidR="00C06755" w:rsidRDefault="00C06755" w:rsidP="00C06755">
      <w:pPr>
        <w:spacing w:line="276" w:lineRule="auto"/>
        <w:ind w:left="567" w:hanging="567"/>
        <w:jc w:val="both"/>
        <w:rPr>
          <w:szCs w:val="24"/>
        </w:rPr>
      </w:pPr>
      <w:r w:rsidRPr="00957C1A">
        <w:rPr>
          <w:szCs w:val="24"/>
        </w:rPr>
        <w:t xml:space="preserve">Suryani, I, &amp; Africa, L, A. (2021) </w:t>
      </w:r>
      <w:proofErr w:type="spellStart"/>
      <w:r w:rsidRPr="00957C1A">
        <w:rPr>
          <w:szCs w:val="24"/>
        </w:rPr>
        <w:t>Pengaruh</w:t>
      </w:r>
      <w:proofErr w:type="spellEnd"/>
      <w:r w:rsidRPr="00957C1A">
        <w:rPr>
          <w:szCs w:val="24"/>
        </w:rPr>
        <w:t xml:space="preserve"> CAR, LDR, ROA, dan BOPO </w:t>
      </w:r>
      <w:proofErr w:type="spellStart"/>
      <w:r w:rsidRPr="00957C1A">
        <w:rPr>
          <w:szCs w:val="24"/>
        </w:rPr>
        <w:t>terhadap</w:t>
      </w:r>
      <w:proofErr w:type="spellEnd"/>
      <w:r w:rsidRPr="00957C1A">
        <w:rPr>
          <w:szCs w:val="24"/>
        </w:rPr>
        <w:t xml:space="preserve"> NPL pada Bank Umum </w:t>
      </w:r>
      <w:proofErr w:type="spellStart"/>
      <w:r w:rsidRPr="00957C1A">
        <w:rPr>
          <w:szCs w:val="24"/>
        </w:rPr>
        <w:t>Swasta</w:t>
      </w:r>
      <w:proofErr w:type="spellEnd"/>
      <w:r w:rsidRPr="00957C1A">
        <w:rPr>
          <w:szCs w:val="24"/>
        </w:rPr>
        <w:t xml:space="preserve"> Nasional. </w:t>
      </w:r>
      <w:proofErr w:type="spellStart"/>
      <w:r w:rsidRPr="00957C1A">
        <w:rPr>
          <w:szCs w:val="24"/>
        </w:rPr>
        <w:t>Jurnal</w:t>
      </w:r>
      <w:proofErr w:type="spellEnd"/>
      <w:r w:rsidRPr="00957C1A">
        <w:rPr>
          <w:szCs w:val="24"/>
        </w:rPr>
        <w:t xml:space="preserve"> Ecopreneur. 14, (2) </w:t>
      </w:r>
      <w:proofErr w:type="spellStart"/>
      <w:r w:rsidRPr="00957C1A">
        <w:rPr>
          <w:szCs w:val="24"/>
        </w:rPr>
        <w:t>Tahun</w:t>
      </w:r>
      <w:proofErr w:type="spellEnd"/>
      <w:r w:rsidRPr="00957C1A">
        <w:rPr>
          <w:szCs w:val="24"/>
        </w:rPr>
        <w:t xml:space="preserve"> 2021, 202-209</w:t>
      </w:r>
      <w:r>
        <w:rPr>
          <w:szCs w:val="24"/>
        </w:rPr>
        <w:t>.</w:t>
      </w:r>
    </w:p>
    <w:p w14:paraId="7ED21BFB" w14:textId="77777777" w:rsidR="00C06755" w:rsidRPr="00846E54" w:rsidRDefault="00C06755" w:rsidP="00C06755">
      <w:pPr>
        <w:spacing w:line="276" w:lineRule="auto"/>
        <w:ind w:left="567" w:hanging="567"/>
        <w:jc w:val="both"/>
        <w:rPr>
          <w:szCs w:val="24"/>
        </w:rPr>
      </w:pPr>
      <w:proofErr w:type="spellStart"/>
      <w:r w:rsidRPr="00846E54">
        <w:rPr>
          <w:szCs w:val="24"/>
        </w:rPr>
        <w:t>Syahid</w:t>
      </w:r>
      <w:proofErr w:type="spellEnd"/>
      <w:r w:rsidRPr="00846E54">
        <w:rPr>
          <w:szCs w:val="24"/>
        </w:rPr>
        <w:t xml:space="preserve">, D. C. N. (2016). </w:t>
      </w:r>
      <w:proofErr w:type="spellStart"/>
      <w:r w:rsidRPr="00846E54">
        <w:rPr>
          <w:szCs w:val="24"/>
        </w:rPr>
        <w:t>Pengaruh</w:t>
      </w:r>
      <w:proofErr w:type="spellEnd"/>
      <w:r w:rsidRPr="00846E54">
        <w:rPr>
          <w:szCs w:val="24"/>
        </w:rPr>
        <w:t xml:space="preserve"> Faktor </w:t>
      </w:r>
      <w:proofErr w:type="spellStart"/>
      <w:r w:rsidRPr="00846E54">
        <w:rPr>
          <w:szCs w:val="24"/>
        </w:rPr>
        <w:t>Eksternal</w:t>
      </w:r>
      <w:proofErr w:type="spellEnd"/>
      <w:r w:rsidRPr="00846E54">
        <w:rPr>
          <w:szCs w:val="24"/>
        </w:rPr>
        <w:t xml:space="preserve"> dan Internal </w:t>
      </w:r>
      <w:proofErr w:type="spellStart"/>
      <w:r w:rsidRPr="00846E54">
        <w:rPr>
          <w:szCs w:val="24"/>
        </w:rPr>
        <w:t>Terhadap</w:t>
      </w:r>
      <w:proofErr w:type="spellEnd"/>
      <w:r w:rsidRPr="00846E54">
        <w:rPr>
          <w:szCs w:val="24"/>
        </w:rPr>
        <w:t xml:space="preserve"> </w:t>
      </w:r>
      <w:proofErr w:type="spellStart"/>
      <w:r w:rsidRPr="00846E54">
        <w:rPr>
          <w:szCs w:val="24"/>
        </w:rPr>
        <w:t>Kredit</w:t>
      </w:r>
      <w:proofErr w:type="spellEnd"/>
      <w:r w:rsidRPr="00846E54">
        <w:rPr>
          <w:szCs w:val="24"/>
        </w:rPr>
        <w:t xml:space="preserve"> </w:t>
      </w:r>
      <w:proofErr w:type="spellStart"/>
      <w:r w:rsidRPr="00846E54">
        <w:rPr>
          <w:szCs w:val="24"/>
        </w:rPr>
        <w:t>Bermasalah</w:t>
      </w:r>
      <w:proofErr w:type="spellEnd"/>
      <w:r w:rsidRPr="00846E54">
        <w:rPr>
          <w:szCs w:val="24"/>
        </w:rPr>
        <w:t xml:space="preserve"> </w:t>
      </w:r>
      <w:proofErr w:type="spellStart"/>
      <w:r w:rsidRPr="00846E54">
        <w:rPr>
          <w:szCs w:val="24"/>
        </w:rPr>
        <w:t>serta</w:t>
      </w:r>
      <w:proofErr w:type="spellEnd"/>
      <w:r w:rsidRPr="00846E54">
        <w:rPr>
          <w:szCs w:val="24"/>
        </w:rPr>
        <w:t xml:space="preserve"> </w:t>
      </w:r>
      <w:proofErr w:type="spellStart"/>
      <w:r w:rsidRPr="00846E54">
        <w:rPr>
          <w:szCs w:val="24"/>
        </w:rPr>
        <w:t>Dampaknya</w:t>
      </w:r>
      <w:proofErr w:type="spellEnd"/>
      <w:r w:rsidRPr="00846E54">
        <w:rPr>
          <w:szCs w:val="24"/>
        </w:rPr>
        <w:t xml:space="preserve"> </w:t>
      </w:r>
      <w:proofErr w:type="spellStart"/>
      <w:r w:rsidRPr="00846E54">
        <w:rPr>
          <w:szCs w:val="24"/>
        </w:rPr>
        <w:t>Terhadap</w:t>
      </w:r>
      <w:proofErr w:type="spellEnd"/>
      <w:r w:rsidRPr="00846E54">
        <w:rPr>
          <w:szCs w:val="24"/>
        </w:rPr>
        <w:t xml:space="preserve"> Cadangan </w:t>
      </w:r>
      <w:proofErr w:type="spellStart"/>
      <w:r w:rsidRPr="00846E54">
        <w:rPr>
          <w:szCs w:val="24"/>
        </w:rPr>
        <w:t>Kerugian</w:t>
      </w:r>
      <w:proofErr w:type="spellEnd"/>
      <w:r w:rsidRPr="00846E54">
        <w:rPr>
          <w:szCs w:val="24"/>
        </w:rPr>
        <w:t xml:space="preserve"> </w:t>
      </w:r>
      <w:proofErr w:type="spellStart"/>
      <w:r w:rsidRPr="00846E54">
        <w:rPr>
          <w:szCs w:val="24"/>
        </w:rPr>
        <w:t>Penurunan</w:t>
      </w:r>
      <w:proofErr w:type="spellEnd"/>
      <w:r w:rsidRPr="00846E54">
        <w:rPr>
          <w:szCs w:val="24"/>
        </w:rPr>
        <w:t xml:space="preserve"> Nilai </w:t>
      </w:r>
      <w:proofErr w:type="spellStart"/>
      <w:r w:rsidRPr="00846E54">
        <w:rPr>
          <w:szCs w:val="24"/>
        </w:rPr>
        <w:t>Menurut</w:t>
      </w:r>
      <w:proofErr w:type="spellEnd"/>
      <w:r w:rsidRPr="00846E54">
        <w:rPr>
          <w:szCs w:val="24"/>
        </w:rPr>
        <w:t xml:space="preserve"> PSAK 55. </w:t>
      </w:r>
      <w:proofErr w:type="spellStart"/>
      <w:r w:rsidRPr="00852B57">
        <w:rPr>
          <w:i/>
          <w:iCs/>
          <w:szCs w:val="24"/>
        </w:rPr>
        <w:t>Jurnal</w:t>
      </w:r>
      <w:proofErr w:type="spellEnd"/>
      <w:r w:rsidRPr="00852B57">
        <w:rPr>
          <w:i/>
          <w:iCs/>
          <w:szCs w:val="24"/>
        </w:rPr>
        <w:t xml:space="preserve"> </w:t>
      </w:r>
      <w:proofErr w:type="spellStart"/>
      <w:r w:rsidRPr="00852B57">
        <w:rPr>
          <w:i/>
          <w:iCs/>
          <w:szCs w:val="24"/>
        </w:rPr>
        <w:t>Perbanas</w:t>
      </w:r>
      <w:proofErr w:type="spellEnd"/>
      <w:r w:rsidRPr="00852B57">
        <w:rPr>
          <w:i/>
          <w:iCs/>
          <w:szCs w:val="24"/>
        </w:rPr>
        <w:t>,</w:t>
      </w:r>
      <w:r w:rsidRPr="00846E54">
        <w:rPr>
          <w:szCs w:val="24"/>
        </w:rPr>
        <w:t xml:space="preserve"> 2(1), 1–23. https://doi.org/10.1016/s0957- 4174(99)00061-5</w:t>
      </w:r>
    </w:p>
    <w:p w14:paraId="5D887394" w14:textId="77777777" w:rsidR="00C06755" w:rsidRPr="00957C1A" w:rsidRDefault="00C06755" w:rsidP="00C06755">
      <w:pPr>
        <w:spacing w:line="276" w:lineRule="auto"/>
        <w:ind w:left="567" w:hanging="567"/>
        <w:jc w:val="both"/>
        <w:rPr>
          <w:szCs w:val="24"/>
        </w:rPr>
      </w:pPr>
      <w:r w:rsidRPr="00957C1A">
        <w:rPr>
          <w:szCs w:val="24"/>
        </w:rPr>
        <w:t xml:space="preserve">Wulandari, B., </w:t>
      </w:r>
      <w:proofErr w:type="spellStart"/>
      <w:r w:rsidRPr="00957C1A">
        <w:rPr>
          <w:szCs w:val="24"/>
        </w:rPr>
        <w:t>Khetrin</w:t>
      </w:r>
      <w:proofErr w:type="spellEnd"/>
      <w:r w:rsidRPr="00957C1A">
        <w:rPr>
          <w:szCs w:val="24"/>
        </w:rPr>
        <w:t xml:space="preserve">, &amp; </w:t>
      </w:r>
      <w:proofErr w:type="spellStart"/>
      <w:r w:rsidRPr="00957C1A">
        <w:rPr>
          <w:szCs w:val="24"/>
        </w:rPr>
        <w:t>Seviyani</w:t>
      </w:r>
      <w:proofErr w:type="spellEnd"/>
      <w:r w:rsidRPr="00957C1A">
        <w:rPr>
          <w:szCs w:val="24"/>
        </w:rPr>
        <w:t xml:space="preserve">, K. (2021). </w:t>
      </w:r>
      <w:proofErr w:type="spellStart"/>
      <w:r w:rsidRPr="000D16AD">
        <w:rPr>
          <w:szCs w:val="24"/>
        </w:rPr>
        <w:t>Pengaruh</w:t>
      </w:r>
      <w:proofErr w:type="spellEnd"/>
      <w:r w:rsidRPr="000D16AD">
        <w:rPr>
          <w:szCs w:val="24"/>
        </w:rPr>
        <w:t xml:space="preserve"> Loan to Deposit Ratio (LDR), </w:t>
      </w:r>
      <w:proofErr w:type="spellStart"/>
      <w:r w:rsidRPr="000D16AD">
        <w:rPr>
          <w:szCs w:val="24"/>
        </w:rPr>
        <w:t>Biaya</w:t>
      </w:r>
      <w:proofErr w:type="spellEnd"/>
      <w:r w:rsidRPr="000D16AD">
        <w:rPr>
          <w:szCs w:val="24"/>
        </w:rPr>
        <w:t xml:space="preserve"> </w:t>
      </w:r>
      <w:proofErr w:type="spellStart"/>
      <w:r w:rsidRPr="000D16AD">
        <w:rPr>
          <w:szCs w:val="24"/>
        </w:rPr>
        <w:t>Operasional</w:t>
      </w:r>
      <w:proofErr w:type="spellEnd"/>
      <w:r w:rsidRPr="000D16AD">
        <w:rPr>
          <w:szCs w:val="24"/>
        </w:rPr>
        <w:t xml:space="preserve">, </w:t>
      </w:r>
      <w:proofErr w:type="spellStart"/>
      <w:r w:rsidRPr="000D16AD">
        <w:rPr>
          <w:szCs w:val="24"/>
        </w:rPr>
        <w:t>Pendapatan</w:t>
      </w:r>
      <w:proofErr w:type="spellEnd"/>
      <w:r w:rsidRPr="000D16AD">
        <w:rPr>
          <w:szCs w:val="24"/>
        </w:rPr>
        <w:t xml:space="preserve"> </w:t>
      </w:r>
      <w:proofErr w:type="spellStart"/>
      <w:r w:rsidRPr="000D16AD">
        <w:rPr>
          <w:szCs w:val="24"/>
        </w:rPr>
        <w:t>Operasional</w:t>
      </w:r>
      <w:proofErr w:type="spellEnd"/>
      <w:r w:rsidRPr="000D16AD">
        <w:rPr>
          <w:szCs w:val="24"/>
        </w:rPr>
        <w:t xml:space="preserve"> (BOPO), Kurs, Capital Adequacy Ratio, </w:t>
      </w:r>
      <w:proofErr w:type="spellStart"/>
      <w:r w:rsidRPr="000D16AD">
        <w:rPr>
          <w:szCs w:val="24"/>
        </w:rPr>
        <w:t>Ukuran</w:t>
      </w:r>
      <w:proofErr w:type="spellEnd"/>
      <w:r w:rsidRPr="000D16AD">
        <w:rPr>
          <w:szCs w:val="24"/>
        </w:rPr>
        <w:t xml:space="preserve"> Bank dan </w:t>
      </w:r>
      <w:proofErr w:type="spellStart"/>
      <w:r w:rsidRPr="000D16AD">
        <w:rPr>
          <w:szCs w:val="24"/>
        </w:rPr>
        <w:t>Inflasi</w:t>
      </w:r>
      <w:proofErr w:type="spellEnd"/>
      <w:r w:rsidRPr="000D16AD">
        <w:rPr>
          <w:szCs w:val="24"/>
        </w:rPr>
        <w:t xml:space="preserve"> </w:t>
      </w:r>
      <w:proofErr w:type="spellStart"/>
      <w:r w:rsidRPr="000D16AD">
        <w:rPr>
          <w:szCs w:val="24"/>
        </w:rPr>
        <w:t>Terhadap</w:t>
      </w:r>
      <w:proofErr w:type="spellEnd"/>
      <w:r w:rsidRPr="000D16AD">
        <w:rPr>
          <w:szCs w:val="24"/>
        </w:rPr>
        <w:t xml:space="preserve"> </w:t>
      </w:r>
      <w:proofErr w:type="gramStart"/>
      <w:r w:rsidRPr="000D16AD">
        <w:rPr>
          <w:szCs w:val="24"/>
        </w:rPr>
        <w:t>Non Performing</w:t>
      </w:r>
      <w:proofErr w:type="gramEnd"/>
      <w:r w:rsidRPr="000D16AD">
        <w:rPr>
          <w:szCs w:val="24"/>
        </w:rPr>
        <w:t xml:space="preserve"> Loan (NPL) di Perusahaan </w:t>
      </w:r>
      <w:proofErr w:type="spellStart"/>
      <w:r w:rsidRPr="000D16AD">
        <w:rPr>
          <w:szCs w:val="24"/>
        </w:rPr>
        <w:t>Perbankan</w:t>
      </w:r>
      <w:proofErr w:type="spellEnd"/>
      <w:r w:rsidRPr="000D16AD">
        <w:rPr>
          <w:szCs w:val="24"/>
        </w:rPr>
        <w:t xml:space="preserve"> </w:t>
      </w:r>
      <w:proofErr w:type="spellStart"/>
      <w:r w:rsidRPr="000D16AD">
        <w:rPr>
          <w:szCs w:val="24"/>
        </w:rPr>
        <w:t>Terdaftar</w:t>
      </w:r>
      <w:proofErr w:type="spellEnd"/>
      <w:r w:rsidRPr="000D16AD">
        <w:rPr>
          <w:szCs w:val="24"/>
        </w:rPr>
        <w:t xml:space="preserve"> di BEI. </w:t>
      </w:r>
      <w:proofErr w:type="spellStart"/>
      <w:proofErr w:type="gramStart"/>
      <w:r w:rsidRPr="00957C1A">
        <w:rPr>
          <w:szCs w:val="24"/>
        </w:rPr>
        <w:t>COSTING:</w:t>
      </w:r>
      <w:r w:rsidRPr="00957C1A">
        <w:rPr>
          <w:i/>
          <w:iCs/>
          <w:szCs w:val="24"/>
        </w:rPr>
        <w:t>Journal</w:t>
      </w:r>
      <w:proofErr w:type="spellEnd"/>
      <w:proofErr w:type="gramEnd"/>
      <w:r w:rsidRPr="00957C1A">
        <w:rPr>
          <w:i/>
          <w:iCs/>
          <w:szCs w:val="24"/>
        </w:rPr>
        <w:t xml:space="preserve"> of Economic, Business and Accounting</w:t>
      </w:r>
      <w:r w:rsidRPr="00957C1A">
        <w:rPr>
          <w:szCs w:val="24"/>
        </w:rPr>
        <w:t xml:space="preserve"> , 5(1). </w:t>
      </w:r>
    </w:p>
    <w:p w14:paraId="56C6D74C" w14:textId="77777777" w:rsidR="00C06755" w:rsidRPr="00957C1A" w:rsidRDefault="00C06755" w:rsidP="00C06755">
      <w:pPr>
        <w:spacing w:line="276" w:lineRule="auto"/>
        <w:ind w:left="567" w:hanging="567"/>
        <w:jc w:val="both"/>
        <w:rPr>
          <w:szCs w:val="24"/>
        </w:rPr>
      </w:pPr>
      <w:r w:rsidRPr="00957C1A">
        <w:rPr>
          <w:szCs w:val="24"/>
        </w:rPr>
        <w:lastRenderedPageBreak/>
        <w:t xml:space="preserve">Wardani, A, P., Haryanto, A, M. (2021). </w:t>
      </w:r>
      <w:proofErr w:type="spellStart"/>
      <w:r w:rsidRPr="000D16AD">
        <w:rPr>
          <w:szCs w:val="24"/>
        </w:rPr>
        <w:t>Analisis</w:t>
      </w:r>
      <w:proofErr w:type="spellEnd"/>
      <w:r w:rsidRPr="000D16AD">
        <w:rPr>
          <w:szCs w:val="24"/>
        </w:rPr>
        <w:t xml:space="preserve"> Faktor – Faktor yang </w:t>
      </w:r>
      <w:proofErr w:type="spellStart"/>
      <w:r w:rsidRPr="000D16AD">
        <w:rPr>
          <w:szCs w:val="24"/>
        </w:rPr>
        <w:t>mempengaruhi</w:t>
      </w:r>
      <w:proofErr w:type="spellEnd"/>
      <w:r w:rsidRPr="000D16AD">
        <w:rPr>
          <w:szCs w:val="24"/>
        </w:rPr>
        <w:t xml:space="preserve"> </w:t>
      </w:r>
      <w:proofErr w:type="gramStart"/>
      <w:r w:rsidRPr="000D16AD">
        <w:rPr>
          <w:szCs w:val="24"/>
        </w:rPr>
        <w:t>Non Performing</w:t>
      </w:r>
      <w:proofErr w:type="gramEnd"/>
      <w:r w:rsidRPr="000D16AD">
        <w:rPr>
          <w:szCs w:val="24"/>
        </w:rPr>
        <w:t xml:space="preserve"> Loan (NPL) di Indonesia pada Bank Umum </w:t>
      </w:r>
      <w:proofErr w:type="spellStart"/>
      <w:r w:rsidRPr="000D16AD">
        <w:rPr>
          <w:szCs w:val="24"/>
        </w:rPr>
        <w:t>Konvesnsional</w:t>
      </w:r>
      <w:proofErr w:type="spellEnd"/>
      <w:r w:rsidRPr="000D16AD">
        <w:rPr>
          <w:szCs w:val="24"/>
        </w:rPr>
        <w:t xml:space="preserve"> yang </w:t>
      </w:r>
      <w:proofErr w:type="spellStart"/>
      <w:r w:rsidRPr="000D16AD">
        <w:rPr>
          <w:szCs w:val="24"/>
        </w:rPr>
        <w:t>terdaftar</w:t>
      </w:r>
      <w:proofErr w:type="spellEnd"/>
      <w:r w:rsidRPr="000D16AD">
        <w:rPr>
          <w:szCs w:val="24"/>
        </w:rPr>
        <w:t xml:space="preserve"> di BI </w:t>
      </w:r>
      <w:proofErr w:type="spellStart"/>
      <w:r w:rsidRPr="000D16AD">
        <w:rPr>
          <w:szCs w:val="24"/>
        </w:rPr>
        <w:t>tahun</w:t>
      </w:r>
      <w:proofErr w:type="spellEnd"/>
      <w:r w:rsidRPr="000D16AD">
        <w:rPr>
          <w:szCs w:val="24"/>
        </w:rPr>
        <w:t xml:space="preserve"> 2019-2020.</w:t>
      </w:r>
      <w:r w:rsidRPr="00957C1A">
        <w:rPr>
          <w:szCs w:val="24"/>
        </w:rPr>
        <w:t xml:space="preserve"> </w:t>
      </w:r>
      <w:proofErr w:type="spellStart"/>
      <w:r w:rsidRPr="00957C1A">
        <w:rPr>
          <w:i/>
          <w:iCs/>
          <w:szCs w:val="24"/>
        </w:rPr>
        <w:t>Diponegoro</w:t>
      </w:r>
      <w:proofErr w:type="spellEnd"/>
      <w:r w:rsidRPr="00957C1A">
        <w:rPr>
          <w:i/>
          <w:iCs/>
          <w:szCs w:val="24"/>
        </w:rPr>
        <w:t xml:space="preserve"> Journal </w:t>
      </w:r>
      <w:proofErr w:type="gramStart"/>
      <w:r w:rsidRPr="00957C1A">
        <w:rPr>
          <w:i/>
          <w:iCs/>
          <w:szCs w:val="24"/>
        </w:rPr>
        <w:t>Of</w:t>
      </w:r>
      <w:proofErr w:type="gramEnd"/>
      <w:r w:rsidRPr="00957C1A">
        <w:rPr>
          <w:i/>
          <w:iCs/>
          <w:szCs w:val="24"/>
        </w:rPr>
        <w:t xml:space="preserve"> Management,</w:t>
      </w:r>
      <w:r w:rsidRPr="00957C1A">
        <w:rPr>
          <w:szCs w:val="24"/>
        </w:rPr>
        <w:t xml:space="preserve"> 10(3), 2337-3792. </w:t>
      </w:r>
    </w:p>
    <w:p w14:paraId="4D8A8AA2" w14:textId="77777777" w:rsidR="00020CCF" w:rsidRPr="00020CCF" w:rsidRDefault="00020CCF" w:rsidP="008A398D">
      <w:pPr>
        <w:ind w:firstLine="426"/>
        <w:jc w:val="both"/>
        <w:rPr>
          <w:szCs w:val="24"/>
          <w:lang w:val="id-ID"/>
        </w:rPr>
      </w:pPr>
    </w:p>
    <w:p w14:paraId="4E243770" w14:textId="77777777" w:rsidR="00020CCF" w:rsidRDefault="00020CCF" w:rsidP="00020CCF">
      <w:pPr>
        <w:spacing w:after="120"/>
        <w:jc w:val="both"/>
        <w:rPr>
          <w:szCs w:val="24"/>
          <w:lang w:val="id-ID"/>
        </w:rPr>
      </w:pPr>
    </w:p>
    <w:p w14:paraId="5FEBB4CC" w14:textId="77777777" w:rsidR="00F41C66" w:rsidRPr="00020CCF" w:rsidRDefault="00F41C66" w:rsidP="008A398D">
      <w:pPr>
        <w:spacing w:after="120"/>
        <w:jc w:val="both"/>
        <w:rPr>
          <w:szCs w:val="24"/>
          <w:lang w:val="id-ID"/>
        </w:rPr>
      </w:pPr>
    </w:p>
    <w:p w14:paraId="7083D50A" w14:textId="77777777" w:rsidR="00F41C66" w:rsidRPr="00020CCF" w:rsidRDefault="00F41C66" w:rsidP="00D73172">
      <w:pPr>
        <w:spacing w:after="120"/>
        <w:ind w:firstLine="360"/>
        <w:jc w:val="both"/>
        <w:rPr>
          <w:szCs w:val="24"/>
        </w:rPr>
      </w:pPr>
    </w:p>
    <w:p w14:paraId="0C90E629" w14:textId="77777777" w:rsidR="00482F53" w:rsidRPr="00020CCF" w:rsidRDefault="00482F53" w:rsidP="00D73172">
      <w:pPr>
        <w:spacing w:after="120"/>
        <w:ind w:firstLine="360"/>
        <w:jc w:val="both"/>
        <w:rPr>
          <w:szCs w:val="24"/>
        </w:rPr>
      </w:pPr>
    </w:p>
    <w:p w14:paraId="2DDA5A62" w14:textId="77777777" w:rsidR="00482F53" w:rsidRPr="00020CCF" w:rsidRDefault="00482F53" w:rsidP="00D73172">
      <w:pPr>
        <w:spacing w:after="120"/>
        <w:ind w:firstLine="360"/>
        <w:jc w:val="both"/>
        <w:rPr>
          <w:szCs w:val="24"/>
        </w:rPr>
      </w:pPr>
    </w:p>
    <w:sectPr w:rsidR="00482F53" w:rsidRPr="00020CCF" w:rsidSect="00786076">
      <w:type w:val="continuous"/>
      <w:pgSz w:w="11909" w:h="16834" w:code="9"/>
      <w:pgMar w:top="1418" w:right="1134" w:bottom="1418" w:left="1418" w:header="1060" w:footer="1242" w:gutter="0"/>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FDA0C" w14:textId="77777777" w:rsidR="00C86BB5" w:rsidRDefault="00C86BB5">
      <w:r>
        <w:separator/>
      </w:r>
    </w:p>
  </w:endnote>
  <w:endnote w:type="continuationSeparator" w:id="0">
    <w:p w14:paraId="1127CE21" w14:textId="77777777" w:rsidR="00C86BB5" w:rsidRDefault="00C86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B11D0" w14:textId="77777777" w:rsidR="008A398D" w:rsidRPr="00786076" w:rsidRDefault="008A398D" w:rsidP="00786076">
    <w:pPr>
      <w:pStyle w:val="Footer"/>
      <w:pBdr>
        <w:top w:val="thinThickSmallGap" w:sz="24" w:space="1" w:color="622423" w:themeColor="accent2" w:themeShade="7F"/>
      </w:pBdr>
      <w:tabs>
        <w:tab w:val="clear" w:pos="8640"/>
      </w:tabs>
      <w:rPr>
        <w:rFonts w:eastAsiaTheme="majorEastAsia"/>
      </w:rPr>
    </w:pPr>
    <w:r w:rsidRPr="00786076">
      <w:rPr>
        <w:rFonts w:eastAsiaTheme="majorEastAsia"/>
        <w:lang w:val="id-ID"/>
      </w:rPr>
      <w:t>International Journal of Economics, Bussiness and Accounting Research</w:t>
    </w:r>
    <w:r w:rsidRPr="00786076">
      <w:rPr>
        <w:rFonts w:eastAsiaTheme="majorEastAsia"/>
        <w:i/>
        <w:lang w:val="id-ID"/>
      </w:rPr>
      <w:t xml:space="preserve"> </w:t>
    </w:r>
    <w:r w:rsidRPr="00786076">
      <w:rPr>
        <w:rFonts w:eastAsiaTheme="majorEastAsia"/>
        <w:b/>
        <w:lang w:val="id-ID"/>
      </w:rPr>
      <w:t>(IJEBAR)</w:t>
    </w:r>
    <w:r w:rsidRPr="00786076">
      <w:rPr>
        <w:rFonts w:eastAsiaTheme="majorEastAsia"/>
      </w:rPr>
      <w:ptab w:relativeTo="margin" w:alignment="right" w:leader="none"/>
    </w:r>
    <w:r w:rsidRPr="00786076">
      <w:rPr>
        <w:rFonts w:eastAsiaTheme="majorEastAsia"/>
      </w:rPr>
      <w:t xml:space="preserve">Page </w:t>
    </w:r>
    <w:r w:rsidRPr="00786076">
      <w:rPr>
        <w:rFonts w:eastAsiaTheme="minorEastAsia"/>
      </w:rPr>
      <w:fldChar w:fldCharType="begin"/>
    </w:r>
    <w:r w:rsidRPr="00786076">
      <w:instrText xml:space="preserve"> PAGE   \* MERGEFORMAT </w:instrText>
    </w:r>
    <w:r w:rsidRPr="00786076">
      <w:rPr>
        <w:rFonts w:eastAsiaTheme="minorEastAsia"/>
      </w:rPr>
      <w:fldChar w:fldCharType="separate"/>
    </w:r>
    <w:r w:rsidR="00017B9C" w:rsidRPr="00017B9C">
      <w:rPr>
        <w:rFonts w:eastAsiaTheme="majorEastAsia"/>
        <w:noProof/>
      </w:rPr>
      <w:t>2</w:t>
    </w:r>
    <w:r w:rsidRPr="00786076">
      <w:rPr>
        <w:rFonts w:eastAsiaTheme="majorEastAsia"/>
        <w:noProof/>
      </w:rPr>
      <w:fldChar w:fldCharType="end"/>
    </w:r>
  </w:p>
  <w:p w14:paraId="76673BD7" w14:textId="77777777" w:rsidR="00000000" w:rsidRPr="00786076" w:rsidRDefault="00000000" w:rsidP="00786076">
    <w:pPr>
      <w:pStyle w:val="Footer"/>
      <w:tabs>
        <w:tab w:val="clear" w:pos="8640"/>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32333" w14:textId="77777777" w:rsidR="00C86BB5" w:rsidRDefault="00C86BB5">
      <w:r>
        <w:separator/>
      </w:r>
    </w:p>
  </w:footnote>
  <w:footnote w:type="continuationSeparator" w:id="0">
    <w:p w14:paraId="494BBAED" w14:textId="77777777" w:rsidR="00C86BB5" w:rsidRDefault="00C86B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85336" w14:textId="77777777" w:rsidR="00020CCF" w:rsidRPr="00751292" w:rsidRDefault="00020CCF" w:rsidP="00020CCF">
    <w:pPr>
      <w:tabs>
        <w:tab w:val="center" w:pos="4680"/>
        <w:tab w:val="right" w:pos="9360"/>
      </w:tabs>
      <w:rPr>
        <w:b/>
        <w:color w:val="0000FF"/>
        <w:szCs w:val="24"/>
        <w:u w:val="single"/>
        <w:lang w:val="en-IN"/>
      </w:rPr>
    </w:pPr>
    <w:r w:rsidRPr="00751292">
      <w:rPr>
        <w:b/>
        <w:szCs w:val="24"/>
        <w:lang w:val="en-IN"/>
      </w:rPr>
      <w:fldChar w:fldCharType="begin"/>
    </w:r>
    <w:r w:rsidRPr="00751292">
      <w:rPr>
        <w:b/>
        <w:szCs w:val="24"/>
        <w:lang w:val="en-IN"/>
      </w:rPr>
      <w:instrText>HYPERLINK "https://www.onlinejournal.in/" \o "Imperial Journal of Interdisciplinary Research (IJIR)"</w:instrText>
    </w:r>
    <w:r w:rsidRPr="00751292">
      <w:rPr>
        <w:b/>
        <w:szCs w:val="24"/>
        <w:lang w:val="en-IN"/>
      </w:rPr>
    </w:r>
    <w:r w:rsidRPr="00751292">
      <w:rPr>
        <w:b/>
        <w:szCs w:val="24"/>
        <w:lang w:val="en-IN"/>
      </w:rPr>
      <w:fldChar w:fldCharType="separate"/>
    </w:r>
    <w:r w:rsidRPr="00751292">
      <w:rPr>
        <w:b/>
        <w:color w:val="000000"/>
        <w:szCs w:val="24"/>
        <w:shd w:val="clear" w:color="auto" w:fill="FFFFFF"/>
      </w:rPr>
      <w:t>International Journal of Economics, </w:t>
    </w:r>
    <w:r w:rsidRPr="00751292">
      <w:rPr>
        <w:b/>
        <w:szCs w:val="24"/>
      </w:rPr>
      <w:t>Business</w:t>
    </w:r>
    <w:r w:rsidRPr="00751292">
      <w:rPr>
        <w:b/>
        <w:color w:val="000000"/>
        <w:szCs w:val="24"/>
        <w:shd w:val="clear" w:color="auto" w:fill="FFFFFF"/>
      </w:rPr>
      <w:t> and Accounting Research (</w:t>
    </w:r>
    <w:r w:rsidRPr="00751292">
      <w:rPr>
        <w:b/>
        <w:szCs w:val="24"/>
      </w:rPr>
      <w:t>IJEBAR</w:t>
    </w:r>
    <w:r w:rsidRPr="00751292">
      <w:rPr>
        <w:b/>
        <w:color w:val="000000"/>
        <w:szCs w:val="24"/>
        <w:shd w:val="clear" w:color="auto" w:fill="FFFFFF"/>
      </w:rPr>
      <w:t xml:space="preserve">) </w:t>
    </w:r>
  </w:p>
  <w:p w14:paraId="0F3D0427" w14:textId="77777777" w:rsidR="00020CCF" w:rsidRPr="00751292" w:rsidRDefault="00020CCF" w:rsidP="00020CCF">
    <w:pPr>
      <w:tabs>
        <w:tab w:val="center" w:pos="4680"/>
        <w:tab w:val="right" w:pos="9360"/>
      </w:tabs>
      <w:rPr>
        <w:b/>
        <w:szCs w:val="24"/>
        <w:lang w:val="en-IN"/>
      </w:rPr>
    </w:pPr>
    <w:r w:rsidRPr="00751292">
      <w:rPr>
        <w:b/>
        <w:szCs w:val="24"/>
        <w:lang w:val="en-IN"/>
      </w:rPr>
      <w:fldChar w:fldCharType="end"/>
    </w:r>
    <w:hyperlink r:id="rId1" w:tooltip="International Journal" w:history="1">
      <w:r w:rsidRPr="00751292">
        <w:rPr>
          <w:b/>
          <w:color w:val="0000FF"/>
          <w:szCs w:val="24"/>
          <w:u w:val="single"/>
          <w:lang w:val="en-IN"/>
        </w:rPr>
        <w:t>Peer Reviewed – International Journal</w:t>
      </w:r>
    </w:hyperlink>
  </w:p>
  <w:p w14:paraId="32D51539" w14:textId="77777777" w:rsidR="00020CCF" w:rsidRPr="00751292" w:rsidRDefault="00020CCF" w:rsidP="00020CCF">
    <w:pPr>
      <w:tabs>
        <w:tab w:val="center" w:pos="4680"/>
        <w:tab w:val="right" w:pos="9360"/>
      </w:tabs>
      <w:rPr>
        <w:b/>
        <w:color w:val="0000FF"/>
        <w:szCs w:val="24"/>
        <w:u w:val="single"/>
        <w:lang w:val="en-IN"/>
      </w:rPr>
    </w:pPr>
    <w:r w:rsidRPr="00751292">
      <w:rPr>
        <w:b/>
        <w:szCs w:val="24"/>
        <w:lang w:val="en-IN"/>
      </w:rPr>
      <w:fldChar w:fldCharType="begin"/>
    </w:r>
    <w:r w:rsidRPr="00751292">
      <w:rPr>
        <w:b/>
        <w:szCs w:val="24"/>
        <w:lang w:val="en-IN"/>
      </w:rPr>
      <w:instrText xml:space="preserve"> HYPERLINK "https://www.onlinejournal.in/v3i92017/" </w:instrText>
    </w:r>
    <w:r w:rsidRPr="00751292">
      <w:rPr>
        <w:b/>
        <w:szCs w:val="24"/>
        <w:lang w:val="en-IN"/>
      </w:rPr>
    </w:r>
    <w:r w:rsidRPr="00751292">
      <w:rPr>
        <w:b/>
        <w:szCs w:val="24"/>
        <w:lang w:val="en-IN"/>
      </w:rPr>
      <w:fldChar w:fldCharType="separate"/>
    </w:r>
    <w:r w:rsidRPr="00751292">
      <w:rPr>
        <w:b/>
        <w:color w:val="0000FF"/>
        <w:szCs w:val="24"/>
        <w:u w:val="single"/>
        <w:lang w:val="en-IN"/>
      </w:rPr>
      <w:t>Vol-</w:t>
    </w:r>
    <w:r w:rsidRPr="00751292">
      <w:rPr>
        <w:b/>
        <w:color w:val="0000FF"/>
        <w:szCs w:val="24"/>
        <w:u w:val="single"/>
      </w:rPr>
      <w:t>3</w:t>
    </w:r>
    <w:r w:rsidRPr="00751292">
      <w:rPr>
        <w:b/>
        <w:color w:val="0000FF"/>
        <w:szCs w:val="24"/>
        <w:u w:val="single"/>
        <w:lang w:val="en-IN"/>
      </w:rPr>
      <w:t>, Issue-</w:t>
    </w:r>
    <w:r>
      <w:rPr>
        <w:b/>
        <w:color w:val="0000FF"/>
        <w:szCs w:val="24"/>
        <w:u w:val="single"/>
      </w:rPr>
      <w:t>4</w:t>
    </w:r>
    <w:r w:rsidRPr="00751292">
      <w:rPr>
        <w:b/>
        <w:color w:val="0000FF"/>
        <w:szCs w:val="24"/>
        <w:u w:val="single"/>
        <w:lang w:val="en-IN"/>
      </w:rPr>
      <w:t>, 201</w:t>
    </w:r>
    <w:r w:rsidRPr="00751292">
      <w:rPr>
        <w:b/>
        <w:color w:val="0000FF"/>
        <w:szCs w:val="24"/>
        <w:u w:val="single"/>
      </w:rPr>
      <w:t xml:space="preserve">9 </w:t>
    </w:r>
    <w:r w:rsidRPr="00751292">
      <w:rPr>
        <w:b/>
        <w:color w:val="0000FF"/>
        <w:szCs w:val="24"/>
        <w:u w:val="single"/>
        <w:lang w:val="en-IN"/>
      </w:rPr>
      <w:t>(IJ</w:t>
    </w:r>
    <w:r w:rsidRPr="00751292">
      <w:rPr>
        <w:b/>
        <w:color w:val="0000FF"/>
        <w:szCs w:val="24"/>
        <w:u w:val="single"/>
      </w:rPr>
      <w:t>EBA</w:t>
    </w:r>
    <w:r w:rsidRPr="00751292">
      <w:rPr>
        <w:b/>
        <w:color w:val="0000FF"/>
        <w:szCs w:val="24"/>
        <w:u w:val="single"/>
        <w:lang w:val="en-IN"/>
      </w:rPr>
      <w:t>R)</w:t>
    </w:r>
  </w:p>
  <w:p w14:paraId="339C095E" w14:textId="77777777" w:rsidR="00020CCF" w:rsidRPr="00751292" w:rsidRDefault="00020CCF" w:rsidP="00020CCF">
    <w:pPr>
      <w:tabs>
        <w:tab w:val="center" w:pos="4680"/>
        <w:tab w:val="center" w:pos="9360"/>
      </w:tabs>
      <w:rPr>
        <w:b/>
        <w:szCs w:val="24"/>
      </w:rPr>
    </w:pPr>
    <w:r w:rsidRPr="00751292">
      <w:rPr>
        <w:b/>
        <w:szCs w:val="24"/>
        <w:lang w:val="en-IN"/>
      </w:rPr>
      <w:fldChar w:fldCharType="end"/>
    </w:r>
    <w:r w:rsidRPr="00751292">
      <w:rPr>
        <w:b/>
        <w:szCs w:val="24"/>
        <w:u w:color="000000"/>
      </w:rPr>
      <w:t>E-IS</w:t>
    </w:r>
    <w:r>
      <w:rPr>
        <w:b/>
        <w:szCs w:val="24"/>
        <w:u w:color="000000"/>
      </w:rPr>
      <w:t>S</w:t>
    </w:r>
    <w:r w:rsidRPr="00751292">
      <w:rPr>
        <w:b/>
        <w:szCs w:val="24"/>
        <w:u w:color="000000"/>
      </w:rPr>
      <w:t>N</w:t>
    </w:r>
    <w:r w:rsidRPr="00751292">
      <w:rPr>
        <w:b/>
        <w:szCs w:val="24"/>
        <w:u w:color="000000"/>
        <w:lang w:val="en-IN"/>
      </w:rPr>
      <w:t xml:space="preserve">: </w:t>
    </w:r>
    <w:r w:rsidRPr="00751292">
      <w:rPr>
        <w:b/>
        <w:color w:val="000000"/>
        <w:szCs w:val="24"/>
        <w:shd w:val="clear" w:color="auto" w:fill="FFFFFF"/>
      </w:rPr>
      <w:t xml:space="preserve">2614-1280 P-ISSN </w:t>
    </w:r>
    <w:r w:rsidRPr="00751292">
      <w:rPr>
        <w:b/>
        <w:szCs w:val="24"/>
      </w:rPr>
      <w:t>2622-4771</w:t>
    </w:r>
  </w:p>
  <w:p w14:paraId="042036F1" w14:textId="77777777" w:rsidR="00020CCF" w:rsidRPr="0026733C" w:rsidRDefault="00000000" w:rsidP="00020CCF">
    <w:pPr>
      <w:pStyle w:val="Header"/>
      <w:rPr>
        <w:szCs w:val="24"/>
      </w:rPr>
    </w:pPr>
    <w:hyperlink r:id="rId2" w:history="1">
      <w:r w:rsidR="00020CCF" w:rsidRPr="0026733C">
        <w:rPr>
          <w:rStyle w:val="Hyperlink"/>
          <w:szCs w:val="24"/>
        </w:rPr>
        <w:t>https://jurnal.stie-aas.ac.id/index.php/IJEBAR</w:t>
      </w:r>
    </w:hyperlink>
    <w:r w:rsidR="00020CCF" w:rsidRPr="0026733C">
      <w:rPr>
        <w:szCs w:val="24"/>
      </w:rPr>
      <w:t xml:space="preserve"> </w:t>
    </w:r>
  </w:p>
  <w:p w14:paraId="62E85C38" w14:textId="77777777" w:rsidR="001D0642" w:rsidRPr="00486F2C" w:rsidRDefault="001D0642" w:rsidP="00486F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E9255C"/>
    <w:multiLevelType w:val="hybridMultilevel"/>
    <w:tmpl w:val="025490FE"/>
    <w:lvl w:ilvl="0" w:tplc="0409000F">
      <w:start w:val="1"/>
      <w:numFmt w:val="decimal"/>
      <w:lvlText w:val="%1."/>
      <w:lvlJc w:val="left"/>
      <w:pPr>
        <w:tabs>
          <w:tab w:val="num" w:pos="5940"/>
        </w:tabs>
        <w:ind w:left="5940" w:hanging="360"/>
      </w:pPr>
      <w:rPr>
        <w:rFonts w:hint="default"/>
      </w:rPr>
    </w:lvl>
    <w:lvl w:ilvl="1" w:tplc="A58442B4">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7C6939"/>
    <w:multiLevelType w:val="hybridMultilevel"/>
    <w:tmpl w:val="09E869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F563B4"/>
    <w:multiLevelType w:val="hybridMultilevel"/>
    <w:tmpl w:val="A9A80500"/>
    <w:lvl w:ilvl="0" w:tplc="3809000F">
      <w:start w:val="4"/>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2C9D33E5"/>
    <w:multiLevelType w:val="multilevel"/>
    <w:tmpl w:val="1F0C7426"/>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358B548B"/>
    <w:multiLevelType w:val="hybridMultilevel"/>
    <w:tmpl w:val="C77C86B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456F7373"/>
    <w:multiLevelType w:val="hybridMultilevel"/>
    <w:tmpl w:val="F37A46AA"/>
    <w:lvl w:ilvl="0" w:tplc="3809000F">
      <w:start w:val="5"/>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4FFD6E21"/>
    <w:multiLevelType w:val="hybridMultilevel"/>
    <w:tmpl w:val="F46A450A"/>
    <w:lvl w:ilvl="0" w:tplc="0409000F">
      <w:start w:val="1"/>
      <w:numFmt w:val="decimal"/>
      <w:lvlText w:val="%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8" w15:restartNumberingAfterBreak="0">
    <w:nsid w:val="535A6C0F"/>
    <w:multiLevelType w:val="multilevel"/>
    <w:tmpl w:val="F8EC428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65B656C8"/>
    <w:multiLevelType w:val="hybridMultilevel"/>
    <w:tmpl w:val="25D005C2"/>
    <w:lvl w:ilvl="0" w:tplc="1BA61020">
      <w:start w:val="1"/>
      <w:numFmt w:val="decimal"/>
      <w:lvlText w:val="%1."/>
      <w:lvlJc w:val="left"/>
      <w:pPr>
        <w:ind w:left="1800" w:hanging="360"/>
      </w:pPr>
      <w:rPr>
        <w:rFonts w:hint="default"/>
        <w:b/>
        <w:i w:val="0"/>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0" w15:restartNumberingAfterBreak="0">
    <w:nsid w:val="6F597D6C"/>
    <w:multiLevelType w:val="hybridMultilevel"/>
    <w:tmpl w:val="D848B95C"/>
    <w:lvl w:ilvl="0" w:tplc="3809000F">
      <w:start w:val="6"/>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89160133">
    <w:abstractNumId w:val="0"/>
  </w:num>
  <w:num w:numId="2" w16cid:durableId="1514496021">
    <w:abstractNumId w:val="7"/>
  </w:num>
  <w:num w:numId="3" w16cid:durableId="1237865540">
    <w:abstractNumId w:val="1"/>
  </w:num>
  <w:num w:numId="4" w16cid:durableId="1761832453">
    <w:abstractNumId w:val="2"/>
  </w:num>
  <w:num w:numId="5" w16cid:durableId="16148263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9078996">
    <w:abstractNumId w:val="9"/>
  </w:num>
  <w:num w:numId="7" w16cid:durableId="352733795">
    <w:abstractNumId w:val="8"/>
  </w:num>
  <w:num w:numId="8" w16cid:durableId="548109479">
    <w:abstractNumId w:val="5"/>
  </w:num>
  <w:num w:numId="9" w16cid:durableId="342829033">
    <w:abstractNumId w:val="3"/>
  </w:num>
  <w:num w:numId="10" w16cid:durableId="409736408">
    <w:abstractNumId w:val="4"/>
  </w:num>
  <w:num w:numId="11" w16cid:durableId="666061107">
    <w:abstractNumId w:val="6"/>
  </w:num>
  <w:num w:numId="12" w16cid:durableId="18583438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mirrorMargins/>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172"/>
    <w:rsid w:val="00010C81"/>
    <w:rsid w:val="00017B9C"/>
    <w:rsid w:val="00017BCC"/>
    <w:rsid w:val="00020CCF"/>
    <w:rsid w:val="00032073"/>
    <w:rsid w:val="00055CD1"/>
    <w:rsid w:val="00136193"/>
    <w:rsid w:val="001419FC"/>
    <w:rsid w:val="001B277F"/>
    <w:rsid w:val="001C4E60"/>
    <w:rsid w:val="001D0642"/>
    <w:rsid w:val="001D27FC"/>
    <w:rsid w:val="001F3F96"/>
    <w:rsid w:val="002006E1"/>
    <w:rsid w:val="00201B74"/>
    <w:rsid w:val="00203B5F"/>
    <w:rsid w:val="0021008A"/>
    <w:rsid w:val="00214280"/>
    <w:rsid w:val="00220AAF"/>
    <w:rsid w:val="002241B8"/>
    <w:rsid w:val="002316D0"/>
    <w:rsid w:val="002318A5"/>
    <w:rsid w:val="00240055"/>
    <w:rsid w:val="00243DE3"/>
    <w:rsid w:val="0026234A"/>
    <w:rsid w:val="00307AC7"/>
    <w:rsid w:val="00324AFE"/>
    <w:rsid w:val="00335D3A"/>
    <w:rsid w:val="00336B34"/>
    <w:rsid w:val="003451AD"/>
    <w:rsid w:val="004013F0"/>
    <w:rsid w:val="00443A6D"/>
    <w:rsid w:val="00450FB7"/>
    <w:rsid w:val="00467D33"/>
    <w:rsid w:val="00482F53"/>
    <w:rsid w:val="00486F2C"/>
    <w:rsid w:val="004A6B49"/>
    <w:rsid w:val="004B7814"/>
    <w:rsid w:val="004C5327"/>
    <w:rsid w:val="0053602A"/>
    <w:rsid w:val="00541D2A"/>
    <w:rsid w:val="00575733"/>
    <w:rsid w:val="00580208"/>
    <w:rsid w:val="005E0159"/>
    <w:rsid w:val="006048B8"/>
    <w:rsid w:val="00612CF4"/>
    <w:rsid w:val="006459CF"/>
    <w:rsid w:val="0065308C"/>
    <w:rsid w:val="006636B1"/>
    <w:rsid w:val="00670614"/>
    <w:rsid w:val="006963B6"/>
    <w:rsid w:val="00711C4D"/>
    <w:rsid w:val="00713F5B"/>
    <w:rsid w:val="007349A7"/>
    <w:rsid w:val="007432C2"/>
    <w:rsid w:val="00786076"/>
    <w:rsid w:val="007A0CBD"/>
    <w:rsid w:val="007D1129"/>
    <w:rsid w:val="007F3CF3"/>
    <w:rsid w:val="0080184F"/>
    <w:rsid w:val="0084586B"/>
    <w:rsid w:val="00876F86"/>
    <w:rsid w:val="008964A4"/>
    <w:rsid w:val="008A398D"/>
    <w:rsid w:val="008B6850"/>
    <w:rsid w:val="009243FC"/>
    <w:rsid w:val="009316D9"/>
    <w:rsid w:val="009331BC"/>
    <w:rsid w:val="00952E38"/>
    <w:rsid w:val="0095439E"/>
    <w:rsid w:val="0099047D"/>
    <w:rsid w:val="00992B6D"/>
    <w:rsid w:val="009D4C59"/>
    <w:rsid w:val="009F3609"/>
    <w:rsid w:val="00A03ECE"/>
    <w:rsid w:val="00A36D71"/>
    <w:rsid w:val="00A371ED"/>
    <w:rsid w:val="00A56E67"/>
    <w:rsid w:val="00A70563"/>
    <w:rsid w:val="00A72B34"/>
    <w:rsid w:val="00A757EC"/>
    <w:rsid w:val="00AD6B26"/>
    <w:rsid w:val="00AE435A"/>
    <w:rsid w:val="00B178C0"/>
    <w:rsid w:val="00BA0EA9"/>
    <w:rsid w:val="00BC782F"/>
    <w:rsid w:val="00BD4300"/>
    <w:rsid w:val="00BE5E04"/>
    <w:rsid w:val="00BE7B73"/>
    <w:rsid w:val="00BF01EB"/>
    <w:rsid w:val="00C06755"/>
    <w:rsid w:val="00C30C65"/>
    <w:rsid w:val="00C32EAA"/>
    <w:rsid w:val="00C35CDC"/>
    <w:rsid w:val="00C86BB5"/>
    <w:rsid w:val="00CA633C"/>
    <w:rsid w:val="00D372F2"/>
    <w:rsid w:val="00D45EC5"/>
    <w:rsid w:val="00D500E1"/>
    <w:rsid w:val="00D73172"/>
    <w:rsid w:val="00DB5735"/>
    <w:rsid w:val="00DD48A1"/>
    <w:rsid w:val="00DE4AF3"/>
    <w:rsid w:val="00DF6BAA"/>
    <w:rsid w:val="00E226DA"/>
    <w:rsid w:val="00E501F4"/>
    <w:rsid w:val="00EB06C7"/>
    <w:rsid w:val="00F007C5"/>
    <w:rsid w:val="00F0081E"/>
    <w:rsid w:val="00F01E62"/>
    <w:rsid w:val="00F22146"/>
    <w:rsid w:val="00F41C66"/>
    <w:rsid w:val="00F51B6E"/>
    <w:rsid w:val="00F54EC7"/>
    <w:rsid w:val="00F7073A"/>
    <w:rsid w:val="00FB33E1"/>
    <w:rsid w:val="00FF1FA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73C209"/>
  <w15:docId w15:val="{8DCB13B8-A239-401C-AEF0-7A78549CA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172"/>
    <w:pPr>
      <w:spacing w:line="240" w:lineRule="auto"/>
    </w:pPr>
    <w:rPr>
      <w:rFonts w:eastAsia="Times New Roman"/>
      <w:szCs w:val="20"/>
    </w:rPr>
  </w:style>
  <w:style w:type="paragraph" w:styleId="Heading1">
    <w:name w:val="heading 1"/>
    <w:basedOn w:val="Normal"/>
    <w:next w:val="Normal"/>
    <w:link w:val="Heading1Char"/>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3172"/>
    <w:rPr>
      <w:rFonts w:eastAsia="Times New Roman"/>
      <w:b/>
      <w:i/>
      <w:sz w:val="40"/>
      <w:szCs w:val="20"/>
    </w:rPr>
  </w:style>
  <w:style w:type="character" w:customStyle="1" w:styleId="Heading2Char">
    <w:name w:val="Heading 2 Char"/>
    <w:basedOn w:val="DefaultParagraphFont"/>
    <w:link w:val="Heading2"/>
    <w:rsid w:val="00D73172"/>
    <w:rPr>
      <w:rFonts w:eastAsia="Times New Roman"/>
      <w:b/>
      <w:sz w:val="32"/>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qFormat/>
    <w:rsid w:val="00D73172"/>
    <w:pPr>
      <w:jc w:val="center"/>
    </w:pPr>
    <w:rPr>
      <w:b/>
      <w:sz w:val="20"/>
      <w:szCs w:val="24"/>
    </w:rPr>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59"/>
    <w:rsid w:val="00D73172"/>
    <w:pPr>
      <w:spacing w:line="240" w:lineRule="auto"/>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semiHidden/>
    <w:unhideWhenUsed/>
    <w:rsid w:val="00D73172"/>
    <w:pPr>
      <w:spacing w:after="120"/>
    </w:pPr>
  </w:style>
  <w:style w:type="character" w:customStyle="1" w:styleId="BodyTextChar">
    <w:name w:val="Body Text Char"/>
    <w:basedOn w:val="DefaultParagraphFont"/>
    <w:link w:val="BodyText"/>
    <w:uiPriority w:val="99"/>
    <w:semiHidden/>
    <w:rsid w:val="00D73172"/>
    <w:rPr>
      <w:rFonts w:eastAsia="Times New Roman"/>
      <w:szCs w:val="20"/>
    </w:rPr>
  </w:style>
  <w:style w:type="paragraph" w:styleId="ListParagraph">
    <w:name w:val="List Paragraph"/>
    <w:basedOn w:val="Normal"/>
    <w:uiPriority w:val="34"/>
    <w:qFormat/>
    <w:rsid w:val="00D73172"/>
    <w:pPr>
      <w:ind w:left="720"/>
      <w:contextualSpacing/>
    </w:p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 w:type="paragraph" w:styleId="BalloonText">
    <w:name w:val="Balloon Text"/>
    <w:basedOn w:val="Normal"/>
    <w:link w:val="BalloonTextChar"/>
    <w:uiPriority w:val="99"/>
    <w:semiHidden/>
    <w:unhideWhenUsed/>
    <w:rsid w:val="008A398D"/>
    <w:rPr>
      <w:rFonts w:ascii="Tahoma" w:hAnsi="Tahoma" w:cs="Tahoma"/>
      <w:sz w:val="16"/>
      <w:szCs w:val="16"/>
    </w:rPr>
  </w:style>
  <w:style w:type="character" w:customStyle="1" w:styleId="BalloonTextChar">
    <w:name w:val="Balloon Text Char"/>
    <w:basedOn w:val="DefaultParagraphFont"/>
    <w:link w:val="BalloonText"/>
    <w:uiPriority w:val="99"/>
    <w:semiHidden/>
    <w:rsid w:val="008A398D"/>
    <w:rPr>
      <w:rFonts w:ascii="Tahoma" w:eastAsia="Times New Roman" w:hAnsi="Tahoma" w:cs="Tahoma"/>
      <w:sz w:val="16"/>
      <w:szCs w:val="16"/>
    </w:rPr>
  </w:style>
  <w:style w:type="character" w:customStyle="1" w:styleId="tlid-translation">
    <w:name w:val="tlid-translation"/>
    <w:basedOn w:val="DefaultParagraphFont"/>
    <w:rsid w:val="00020CCF"/>
  </w:style>
  <w:style w:type="paragraph" w:customStyle="1" w:styleId="TableParagraph">
    <w:name w:val="Table Paragraph"/>
    <w:basedOn w:val="Normal"/>
    <w:uiPriority w:val="1"/>
    <w:qFormat/>
    <w:rsid w:val="00C06755"/>
    <w:pPr>
      <w:widowControl w:val="0"/>
      <w:autoSpaceDE w:val="0"/>
      <w:autoSpaceDN w:val="0"/>
    </w:pPr>
    <w:rPr>
      <w:sz w:val="22"/>
      <w:szCs w:val="22"/>
      <w:lang w:val="id"/>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667030">
      <w:bodyDiv w:val="1"/>
      <w:marLeft w:val="0"/>
      <w:marRight w:val="0"/>
      <w:marTop w:val="0"/>
      <w:marBottom w:val="0"/>
      <w:divBdr>
        <w:top w:val="none" w:sz="0" w:space="0" w:color="auto"/>
        <w:left w:val="none" w:sz="0" w:space="0" w:color="auto"/>
        <w:bottom w:val="none" w:sz="0" w:space="0" w:color="auto"/>
        <w:right w:val="none" w:sz="0" w:space="0" w:color="auto"/>
      </w:divBdr>
    </w:div>
    <w:div w:id="443811932">
      <w:bodyDiv w:val="1"/>
      <w:marLeft w:val="0"/>
      <w:marRight w:val="0"/>
      <w:marTop w:val="0"/>
      <w:marBottom w:val="0"/>
      <w:divBdr>
        <w:top w:val="none" w:sz="0" w:space="0" w:color="auto"/>
        <w:left w:val="none" w:sz="0" w:space="0" w:color="auto"/>
        <w:bottom w:val="none" w:sz="0" w:space="0" w:color="auto"/>
        <w:right w:val="none" w:sz="0" w:space="0" w:color="auto"/>
      </w:divBdr>
    </w:div>
    <w:div w:id="172052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dx.co.id/" TargetMode="External"/><Relationship Id="rId13"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s://doi.org/10.37531/sejaman.v5i2.2326"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Doi.Org/10.24912/Ja.V23i3.612"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s://jurnal.stie-aas.ac.id/index.php/IJEBAR" TargetMode="External"/><Relationship Id="rId1" Type="http://schemas.openxmlformats.org/officeDocument/2006/relationships/hyperlink" Target="https://www.onlinejournal.in/ij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D10256-EE63-46A5-9A25-ABBB5777B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2503</Words>
  <Characters>14118</Characters>
  <Application>Microsoft Office Word</Application>
  <DocSecurity>0</DocSecurity>
  <Lines>403</Lines>
  <Paragraphs>218</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16403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Tatang</dc:creator>
  <cp:lastModifiedBy>ranisftri06@gmail.com</cp:lastModifiedBy>
  <cp:revision>2</cp:revision>
  <cp:lastPrinted>2017-09-12T03:58:00Z</cp:lastPrinted>
  <dcterms:created xsi:type="dcterms:W3CDTF">2023-08-28T03:43:00Z</dcterms:created>
  <dcterms:modified xsi:type="dcterms:W3CDTF">2023-08-28T03:43:00Z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4386dcdefadc792a5003acb8d9bed9293790cd4a8550d153cd7a1098ab3b9885</vt:lpwstr>
  </property>
</Properties>
</file>