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0A2" w:rsidRPr="00F24CEC" w:rsidRDefault="00A570A2" w:rsidP="00A570A2">
      <w:pPr>
        <w:pStyle w:val="Title"/>
        <w:tabs>
          <w:tab w:val="left" w:pos="-5400"/>
          <w:tab w:val="left" w:pos="-3330"/>
        </w:tabs>
        <w:rPr>
          <w:rFonts w:ascii="Times New Roman" w:eastAsia="Book Antiqua" w:hAnsi="Times New Roman" w:cs="Times New Roman"/>
          <w:bCs/>
          <w:sz w:val="24"/>
          <w:szCs w:val="24"/>
        </w:rPr>
      </w:pPr>
      <w:r w:rsidRPr="00F24CEC">
        <w:rPr>
          <w:rFonts w:ascii="Times New Roman" w:hAnsi="Times New Roman" w:cs="Times New Roman"/>
          <w:sz w:val="24"/>
          <w:szCs w:val="24"/>
        </w:rPr>
        <w:t>THE INFLUENCE OF ISLAMIC CORPORATE SOCIAL RESPONSIBILITY AND ISLAMICITY PERFORMANCE INDEX DISCLOSURE ON COMPANY REPUTATION: AN EMPIRICAL STUDY OF SHARIA BANK IN INDONESIA</w:t>
      </w:r>
    </w:p>
    <w:p w:rsidR="00A570A2" w:rsidRPr="00F24CEC" w:rsidRDefault="00A570A2" w:rsidP="00A570A2">
      <w:pPr>
        <w:pStyle w:val="Title"/>
        <w:tabs>
          <w:tab w:val="left" w:pos="-5400"/>
          <w:tab w:val="left" w:pos="-3330"/>
        </w:tabs>
        <w:rPr>
          <w:rFonts w:ascii="Times New Roman" w:hAnsi="Times New Roman" w:cs="Times New Roman"/>
          <w:b w:val="0"/>
          <w:sz w:val="24"/>
          <w:szCs w:val="24"/>
        </w:rPr>
      </w:pPr>
    </w:p>
    <w:p w:rsidR="00DF1481" w:rsidRPr="00F24CEC" w:rsidRDefault="00DF1481" w:rsidP="00DF1481">
      <w:pPr>
        <w:ind w:right="16"/>
        <w:jc w:val="center"/>
        <w:rPr>
          <w:rFonts w:asciiTheme="majorBidi" w:hAnsiTheme="majorBidi" w:cstheme="majorBidi"/>
          <w:b/>
          <w:sz w:val="20"/>
          <w:vertAlign w:val="superscript"/>
        </w:rPr>
      </w:pPr>
      <w:r w:rsidRPr="00F24CEC">
        <w:rPr>
          <w:b/>
          <w:sz w:val="20"/>
        </w:rPr>
        <w:t xml:space="preserve">Muhammad </w:t>
      </w:r>
      <w:proofErr w:type="spellStart"/>
      <w:r w:rsidRPr="00F24CEC">
        <w:rPr>
          <w:b/>
          <w:sz w:val="20"/>
        </w:rPr>
        <w:t>Mumtaza</w:t>
      </w:r>
      <w:proofErr w:type="spellEnd"/>
      <w:r w:rsidRPr="00F24CEC">
        <w:rPr>
          <w:b/>
          <w:sz w:val="20"/>
        </w:rPr>
        <w:t xml:space="preserve"> </w:t>
      </w:r>
      <w:proofErr w:type="gramStart"/>
      <w:r w:rsidRPr="00F24CEC">
        <w:rPr>
          <w:b/>
          <w:sz w:val="20"/>
        </w:rPr>
        <w:t>Walad</w:t>
      </w:r>
      <w:r w:rsidRPr="00F24CEC">
        <w:rPr>
          <w:b/>
          <w:sz w:val="20"/>
          <w:vertAlign w:val="superscript"/>
        </w:rPr>
        <w:t>1</w:t>
      </w:r>
      <w:r w:rsidRPr="00F24CEC">
        <w:rPr>
          <w:b/>
          <w:sz w:val="20"/>
        </w:rPr>
        <w:t xml:space="preserve"> ,</w:t>
      </w:r>
      <w:proofErr w:type="gramEnd"/>
      <w:r w:rsidRPr="00F24CEC">
        <w:rPr>
          <w:b/>
          <w:sz w:val="20"/>
        </w:rPr>
        <w:t xml:space="preserve"> </w:t>
      </w:r>
      <w:proofErr w:type="spellStart"/>
      <w:r w:rsidRPr="00F24CEC">
        <w:rPr>
          <w:b/>
          <w:sz w:val="20"/>
        </w:rPr>
        <w:t>Tuti</w:t>
      </w:r>
      <w:proofErr w:type="spellEnd"/>
      <w:r w:rsidRPr="00F24CEC">
        <w:rPr>
          <w:b/>
          <w:sz w:val="20"/>
        </w:rPr>
        <w:t xml:space="preserve"> Anggraini</w:t>
      </w:r>
      <w:r w:rsidRPr="00F24CEC">
        <w:rPr>
          <w:b/>
          <w:sz w:val="20"/>
          <w:vertAlign w:val="superscript"/>
        </w:rPr>
        <w:t>2</w:t>
      </w:r>
      <w:r w:rsidRPr="00F24CEC">
        <w:rPr>
          <w:b/>
          <w:sz w:val="20"/>
        </w:rPr>
        <w:t xml:space="preserve"> , </w:t>
      </w:r>
      <w:proofErr w:type="spellStart"/>
      <w:r w:rsidRPr="00F24CEC">
        <w:rPr>
          <w:b/>
          <w:sz w:val="20"/>
        </w:rPr>
        <w:t>Nur</w:t>
      </w:r>
      <w:proofErr w:type="spellEnd"/>
      <w:r w:rsidRPr="00F24CEC">
        <w:rPr>
          <w:b/>
          <w:sz w:val="20"/>
        </w:rPr>
        <w:t xml:space="preserve"> </w:t>
      </w:r>
      <w:proofErr w:type="spellStart"/>
      <w:r w:rsidRPr="00F24CEC">
        <w:rPr>
          <w:b/>
          <w:sz w:val="20"/>
        </w:rPr>
        <w:t>Santri</w:t>
      </w:r>
      <w:proofErr w:type="spellEnd"/>
      <w:r w:rsidRPr="00F24CEC">
        <w:rPr>
          <w:b/>
          <w:sz w:val="20"/>
        </w:rPr>
        <w:t xml:space="preserve"> Yanti</w:t>
      </w:r>
      <w:r w:rsidRPr="00F24CEC">
        <w:rPr>
          <w:b/>
          <w:sz w:val="20"/>
          <w:vertAlign w:val="superscript"/>
        </w:rPr>
        <w:t>3</w:t>
      </w:r>
    </w:p>
    <w:p w:rsidR="00662EC3" w:rsidRPr="00F24CEC" w:rsidRDefault="00662EC3" w:rsidP="00662EC3">
      <w:pPr>
        <w:jc w:val="center"/>
        <w:rPr>
          <w:sz w:val="20"/>
        </w:rPr>
      </w:pPr>
      <w:r w:rsidRPr="00F24CEC">
        <w:rPr>
          <w:sz w:val="20"/>
          <w:vertAlign w:val="superscript"/>
        </w:rPr>
        <w:t>1</w:t>
      </w:r>
      <w:proofErr w:type="gramStart"/>
      <w:r w:rsidRPr="00F24CEC">
        <w:rPr>
          <w:sz w:val="20"/>
          <w:vertAlign w:val="superscript"/>
        </w:rPr>
        <w:t>,2,3</w:t>
      </w:r>
      <w:proofErr w:type="gramEnd"/>
      <w:r w:rsidRPr="00F24CEC">
        <w:rPr>
          <w:sz w:val="20"/>
          <w:vertAlign w:val="superscript"/>
        </w:rPr>
        <w:t xml:space="preserve"> </w:t>
      </w:r>
      <w:r w:rsidRPr="00F24CEC">
        <w:rPr>
          <w:sz w:val="20"/>
          <w:lang w:val="id-ID"/>
        </w:rPr>
        <w:t>Faculty of Islamic Economics and Business, North Sumatra State Islamic University</w:t>
      </w:r>
    </w:p>
    <w:p w:rsidR="00662EC3" w:rsidRPr="00F24CEC" w:rsidRDefault="00662EC3" w:rsidP="00662EC3">
      <w:pPr>
        <w:jc w:val="center"/>
        <w:rPr>
          <w:rFonts w:eastAsia="Book Antiqua"/>
          <w:sz w:val="20"/>
        </w:rPr>
      </w:pPr>
      <w:r w:rsidRPr="00F24CEC">
        <w:rPr>
          <w:i/>
          <w:sz w:val="20"/>
          <w:highlight w:val="yellow"/>
          <w:lang w:val="id-ID"/>
        </w:rPr>
        <w:t>E-</w:t>
      </w:r>
      <w:r w:rsidRPr="00F24CEC">
        <w:rPr>
          <w:i/>
          <w:sz w:val="20"/>
          <w:highlight w:val="yellow"/>
        </w:rPr>
        <w:t>mail:</w:t>
      </w:r>
      <w:r w:rsidRPr="00F24CEC">
        <w:rPr>
          <w:i/>
          <w:sz w:val="20"/>
          <w:highlight w:val="yellow"/>
          <w:lang w:val="id-ID"/>
        </w:rPr>
        <w:t xml:space="preserve"> </w:t>
      </w:r>
      <w:bookmarkStart w:id="0" w:name="_GoBack"/>
      <w:r w:rsidR="00C479A9" w:rsidRPr="00C479A9">
        <w:rPr>
          <w:i/>
          <w:sz w:val="20"/>
          <w:highlight w:val="yellow"/>
        </w:rPr>
        <w:fldChar w:fldCharType="begin"/>
      </w:r>
      <w:r w:rsidR="00C479A9" w:rsidRPr="00C479A9">
        <w:rPr>
          <w:i/>
          <w:sz w:val="20"/>
          <w:highlight w:val="yellow"/>
        </w:rPr>
        <w:instrText xml:space="preserve"> HYPERLINK "mailto:mumtazaza741@gmail.com" </w:instrText>
      </w:r>
      <w:r w:rsidR="00C479A9" w:rsidRPr="00C479A9">
        <w:rPr>
          <w:i/>
          <w:sz w:val="20"/>
          <w:highlight w:val="yellow"/>
        </w:rPr>
        <w:fldChar w:fldCharType="separate"/>
      </w:r>
      <w:r w:rsidR="00C479A9" w:rsidRPr="00C479A9">
        <w:rPr>
          <w:rStyle w:val="Hyperlink"/>
          <w:i/>
          <w:sz w:val="20"/>
          <w:highlight w:val="yellow"/>
        </w:rPr>
        <w:t>mumtazaza741@gmail.com</w:t>
      </w:r>
      <w:r w:rsidR="00C479A9" w:rsidRPr="00C479A9">
        <w:rPr>
          <w:i/>
          <w:sz w:val="20"/>
          <w:highlight w:val="yellow"/>
        </w:rPr>
        <w:fldChar w:fldCharType="end"/>
      </w:r>
      <w:r w:rsidR="00C479A9" w:rsidRPr="00C479A9">
        <w:rPr>
          <w:i/>
          <w:sz w:val="20"/>
        </w:rPr>
        <w:t>,</w:t>
      </w:r>
      <w:r w:rsidR="00C479A9" w:rsidRPr="00C479A9">
        <w:rPr>
          <w:i/>
        </w:rPr>
        <w:t xml:space="preserve"> </w:t>
      </w:r>
      <w:hyperlink r:id="rId9" w:history="1">
        <w:r w:rsidR="00C479A9" w:rsidRPr="00C479A9">
          <w:rPr>
            <w:rStyle w:val="Hyperlink"/>
            <w:i/>
            <w:sz w:val="20"/>
          </w:rPr>
          <w:t>tuti.anggraini@uinsu.ac.id</w:t>
        </w:r>
      </w:hyperlink>
      <w:r w:rsidR="00C479A9" w:rsidRPr="00C479A9">
        <w:rPr>
          <w:i/>
          <w:sz w:val="20"/>
        </w:rPr>
        <w:t xml:space="preserve">, </w:t>
      </w:r>
      <w:hyperlink r:id="rId10" w:history="1">
        <w:r w:rsidR="00C479A9" w:rsidRPr="00C479A9">
          <w:rPr>
            <w:rStyle w:val="Hyperlink"/>
            <w:i/>
            <w:sz w:val="20"/>
          </w:rPr>
          <w:t>nursantriyanti@uinsu.ac.id</w:t>
        </w:r>
      </w:hyperlink>
      <w:bookmarkEnd w:id="0"/>
      <w:r w:rsidR="00C479A9">
        <w:rPr>
          <w:sz w:val="20"/>
        </w:rPr>
        <w:t xml:space="preserve"> </w:t>
      </w:r>
    </w:p>
    <w:p w:rsidR="00662EC3" w:rsidRPr="00F24CEC" w:rsidRDefault="00662EC3" w:rsidP="00662EC3">
      <w:pPr>
        <w:pStyle w:val="PageNumber1"/>
        <w:rPr>
          <w:rFonts w:ascii="Times New Roman" w:hAnsi="Times New Roman"/>
          <w:sz w:val="20"/>
          <w:lang w:val="id-ID"/>
        </w:rPr>
      </w:pPr>
    </w:p>
    <w:p w:rsidR="00662EC3" w:rsidRPr="00F24CEC" w:rsidRDefault="00662EC3" w:rsidP="00662EC3">
      <w:pPr>
        <w:pStyle w:val="PageNumber1"/>
        <w:rPr>
          <w:rFonts w:ascii="Times New Roman" w:hAnsi="Times New Roman"/>
          <w:i/>
          <w:sz w:val="20"/>
          <w:lang w:val="id-ID"/>
        </w:rPr>
      </w:pPr>
      <w:r w:rsidRPr="00F24CEC">
        <w:rPr>
          <w:rFonts w:ascii="Times New Roman" w:hAnsi="Times New Roman"/>
          <w:i/>
          <w:sz w:val="20"/>
          <w:lang w:val="id-ID"/>
        </w:rPr>
        <w:t xml:space="preserve"> </w:t>
      </w:r>
    </w:p>
    <w:p w:rsidR="00D17AD1" w:rsidRPr="00F24CEC" w:rsidRDefault="00662EC3" w:rsidP="00D17AD1">
      <w:pPr>
        <w:ind w:left="1418" w:hanging="1418"/>
        <w:jc w:val="both"/>
        <w:rPr>
          <w:b/>
          <w:i/>
          <w:szCs w:val="24"/>
        </w:rPr>
      </w:pPr>
      <w:r w:rsidRPr="00F24CEC">
        <w:rPr>
          <w:b/>
          <w:szCs w:val="24"/>
        </w:rPr>
        <w:t>Abstract</w:t>
      </w:r>
      <w:r w:rsidRPr="00F24CEC">
        <w:rPr>
          <w:b/>
          <w:szCs w:val="24"/>
          <w:lang w:val="id-ID"/>
        </w:rPr>
        <w:t>:</w:t>
      </w:r>
      <w:r w:rsidRPr="00F24CEC">
        <w:rPr>
          <w:b/>
          <w:i/>
          <w:szCs w:val="24"/>
        </w:rPr>
        <w:t xml:space="preserve"> </w:t>
      </w:r>
      <w:r w:rsidRPr="00F24CEC">
        <w:rPr>
          <w:b/>
          <w:i/>
          <w:szCs w:val="24"/>
          <w:lang w:val="id-ID"/>
        </w:rPr>
        <w:tab/>
      </w:r>
      <w:r w:rsidRPr="00F24CEC">
        <w:rPr>
          <w:szCs w:val="24"/>
        </w:rPr>
        <w:t xml:space="preserve">This research aims to influence macroeconomic variables on economic growth in Indonesia. Economic growth is seen as a development of economic activity which causes goods and services produced in a country to increase. This research method is quantitative research with secondary data in the 2012-2021 observation </w:t>
      </w:r>
      <w:proofErr w:type="gramStart"/>
      <w:r w:rsidRPr="00F24CEC">
        <w:rPr>
          <w:szCs w:val="24"/>
        </w:rPr>
        <w:t>period</w:t>
      </w:r>
      <w:proofErr w:type="gramEnd"/>
      <w:r w:rsidRPr="00F24CEC">
        <w:rPr>
          <w:szCs w:val="24"/>
        </w:rPr>
        <w:t xml:space="preserve">. Secondary data collection uses the documentation method for data on reports of total exchange rates, inflation, interest rates and economic growth from BPS, BPPRP and BPKAP, the data collected is analyzed using multiple linear regression using the </w:t>
      </w:r>
      <w:proofErr w:type="spellStart"/>
      <w:r w:rsidRPr="00F24CEC">
        <w:rPr>
          <w:szCs w:val="24"/>
        </w:rPr>
        <w:t>eviews</w:t>
      </w:r>
      <w:proofErr w:type="spellEnd"/>
      <w:r w:rsidRPr="00F24CEC">
        <w:rPr>
          <w:szCs w:val="24"/>
        </w:rPr>
        <w:t xml:space="preserve"> 9 computer program. Research results show 1) Value Exchange rate from the results of the multiple linear regression test has a negative and significant effect on economic growth during the 2012-2021 period, meaning that every increase in the exchange rate will reduce economic growth by -1.28%. 2) Inflation has a positive and significant effect on economic growth in 2012-2021, increasing economic growth by 3.83%. 3) The BI-7 Day Reverse Repo Rate (BI7DRR) has no significant effect on economic growth in 2012-2021 and has no impact whatsoever on economic growth</w:t>
      </w:r>
      <w:r w:rsidRPr="00F24CEC">
        <w:rPr>
          <w:b/>
          <w:i/>
          <w:szCs w:val="24"/>
        </w:rPr>
        <w:t>.</w:t>
      </w:r>
      <w:r w:rsidR="00D17AD1" w:rsidRPr="00F24CEC">
        <w:rPr>
          <w:b/>
          <w:i/>
          <w:szCs w:val="24"/>
        </w:rPr>
        <w:t xml:space="preserve"> </w:t>
      </w:r>
      <w:r w:rsidR="00D17AD1" w:rsidRPr="00F24CEC">
        <w:t xml:space="preserve">This research aims to determine the influence of Islamic Corporate Social Responsibility on the reputation of Sharia banking companies in Indonesia and the </w:t>
      </w:r>
      <w:proofErr w:type="spellStart"/>
      <w:r w:rsidR="00D17AD1" w:rsidRPr="00F24CEC">
        <w:t>Islamicity</w:t>
      </w:r>
      <w:proofErr w:type="spellEnd"/>
      <w:r w:rsidR="00D17AD1" w:rsidRPr="00F24CEC">
        <w:t xml:space="preserve"> Performance Index on the reputation of Sharia banking companies in Indonesia for the 2019-2022 </w:t>
      </w:r>
      <w:proofErr w:type="gramStart"/>
      <w:r w:rsidR="00D17AD1" w:rsidRPr="00F24CEC">
        <w:t>period</w:t>
      </w:r>
      <w:proofErr w:type="gramEnd"/>
      <w:r w:rsidR="00D17AD1" w:rsidRPr="00F24CEC">
        <w:rPr>
          <w:rFonts w:eastAsia="Book Antiqua"/>
        </w:rPr>
        <w:t>.</w:t>
      </w:r>
      <w:r w:rsidR="00D17AD1" w:rsidRPr="00F24CEC">
        <w:rPr>
          <w:b/>
          <w:i/>
          <w:szCs w:val="24"/>
        </w:rPr>
        <w:t xml:space="preserve"> </w:t>
      </w:r>
      <w:r w:rsidR="00D17AD1" w:rsidRPr="00F24CEC">
        <w:t xml:space="preserve">This research is a quantitative study and the data used in this research is secondary data. </w:t>
      </w:r>
      <w:proofErr w:type="gramStart"/>
      <w:r w:rsidR="00D17AD1" w:rsidRPr="00F24CEC">
        <w:t>starting</w:t>
      </w:r>
      <w:proofErr w:type="gramEnd"/>
      <w:r w:rsidR="00D17AD1" w:rsidRPr="00F24CEC">
        <w:t xml:space="preserve"> from annual statements and statements about the sustainability of Sharia banks. The sample collection technique uses a purposive sampling method, meaning the sample selection method uses the specified collection method, obtained from 3 Sharia commercial banks which were used as research samples during 2019-2022. Data analysis uses simple Linear Regression Analysis</w:t>
      </w:r>
      <w:r w:rsidR="00D17AD1" w:rsidRPr="00F24CEC">
        <w:rPr>
          <w:rFonts w:eastAsia="Book Antiqua"/>
        </w:rPr>
        <w:t xml:space="preserve">. </w:t>
      </w:r>
      <w:r w:rsidR="00D17AD1" w:rsidRPr="00F24CEC">
        <w:rPr>
          <w:b/>
          <w:i/>
          <w:szCs w:val="24"/>
        </w:rPr>
        <w:t xml:space="preserve"> </w:t>
      </w:r>
      <w:r w:rsidR="00D17AD1" w:rsidRPr="00F24CEC">
        <w:t>The research results show that ICSR and IPI disclosures have a positive and significant influence on corporate reputation at Sharia banks in Indonesia</w:t>
      </w:r>
      <w:r w:rsidR="00D17AD1" w:rsidRPr="00F24CEC">
        <w:rPr>
          <w:rFonts w:eastAsia="Book Antiqua"/>
        </w:rPr>
        <w:t>.</w:t>
      </w:r>
      <w:r w:rsidR="00D17AD1" w:rsidRPr="00F24CEC">
        <w:rPr>
          <w:b/>
          <w:i/>
          <w:szCs w:val="24"/>
        </w:rPr>
        <w:t xml:space="preserve"> </w:t>
      </w:r>
      <w:r w:rsidR="00D17AD1" w:rsidRPr="00F24CEC">
        <w:t xml:space="preserve">This research contributes to know about the influence of Islamic Corporate Social Responsibility on the reputation of Sharia banking companies in Indonesia and the </w:t>
      </w:r>
      <w:proofErr w:type="spellStart"/>
      <w:r w:rsidR="00D17AD1" w:rsidRPr="00F24CEC">
        <w:t>Islamicity</w:t>
      </w:r>
      <w:proofErr w:type="spellEnd"/>
      <w:r w:rsidR="00D17AD1" w:rsidRPr="00F24CEC">
        <w:t xml:space="preserve"> Performance Index on the reputation of Sharia banking companies in Indonesia for the 2019-2022 </w:t>
      </w:r>
      <w:proofErr w:type="gramStart"/>
      <w:r w:rsidR="00D17AD1" w:rsidRPr="00F24CEC">
        <w:t>period</w:t>
      </w:r>
      <w:proofErr w:type="gramEnd"/>
      <w:r w:rsidR="00D17AD1" w:rsidRPr="00F24CEC">
        <w:t>. Not only that, this research can be a reference for further research.</w:t>
      </w:r>
    </w:p>
    <w:p w:rsidR="00D17AD1" w:rsidRPr="00F24CEC" w:rsidRDefault="00D17AD1" w:rsidP="00662EC3">
      <w:pPr>
        <w:ind w:left="1418" w:hanging="1418"/>
        <w:jc w:val="both"/>
        <w:rPr>
          <w:rFonts w:eastAsia="Book Antiqua"/>
          <w:szCs w:val="24"/>
        </w:rPr>
      </w:pPr>
    </w:p>
    <w:p w:rsidR="00D17AD1" w:rsidRPr="00F24CEC" w:rsidRDefault="00662EC3" w:rsidP="009D1B6F">
      <w:pPr>
        <w:pBdr>
          <w:top w:val="nil"/>
          <w:left w:val="nil"/>
          <w:bottom w:val="nil"/>
          <w:right w:val="nil"/>
          <w:between w:val="nil"/>
        </w:pBdr>
        <w:spacing w:line="276" w:lineRule="auto"/>
        <w:ind w:left="1134" w:right="-59" w:hanging="1134"/>
        <w:jc w:val="both"/>
        <w:rPr>
          <w:i/>
        </w:rPr>
      </w:pPr>
      <w:r w:rsidRPr="00F24CEC">
        <w:rPr>
          <w:b/>
          <w:i/>
          <w:szCs w:val="24"/>
        </w:rPr>
        <w:t xml:space="preserve">Keywords: </w:t>
      </w:r>
      <w:r w:rsidR="00D17AD1" w:rsidRPr="00F24CEC">
        <w:rPr>
          <w:i/>
        </w:rPr>
        <w:t xml:space="preserve">Islamic corporate social responsibility, </w:t>
      </w:r>
      <w:proofErr w:type="spellStart"/>
      <w:r w:rsidR="00D17AD1" w:rsidRPr="00F24CEC">
        <w:rPr>
          <w:i/>
        </w:rPr>
        <w:t>Islamicity</w:t>
      </w:r>
      <w:proofErr w:type="spellEnd"/>
      <w:r w:rsidR="00D17AD1" w:rsidRPr="00F24CEC">
        <w:rPr>
          <w:i/>
        </w:rPr>
        <w:t xml:space="preserve"> performance index, company reputation</w:t>
      </w:r>
    </w:p>
    <w:p w:rsidR="00662EC3" w:rsidRPr="00F24CEC" w:rsidRDefault="00662EC3" w:rsidP="00662EC3">
      <w:pPr>
        <w:ind w:left="1418" w:hanging="1418"/>
        <w:jc w:val="both"/>
        <w:rPr>
          <w:i/>
          <w:szCs w:val="24"/>
        </w:rPr>
      </w:pPr>
    </w:p>
    <w:p w:rsidR="00662EC3" w:rsidRPr="00F24CEC" w:rsidRDefault="00662EC3" w:rsidP="00662EC3">
      <w:pPr>
        <w:pBdr>
          <w:bottom w:val="single" w:sz="12" w:space="1" w:color="auto"/>
        </w:pBdr>
        <w:autoSpaceDE w:val="0"/>
        <w:ind w:right="14"/>
        <w:rPr>
          <w:i/>
          <w:sz w:val="22"/>
          <w:szCs w:val="22"/>
          <w:lang w:val="id-ID"/>
        </w:rPr>
      </w:pPr>
    </w:p>
    <w:p w:rsidR="00662EC3" w:rsidRPr="00F24CEC" w:rsidRDefault="00662EC3" w:rsidP="00662EC3">
      <w:pPr>
        <w:pBdr>
          <w:bottom w:val="single" w:sz="12" w:space="1" w:color="auto"/>
        </w:pBdr>
        <w:sectPr w:rsidR="00662EC3" w:rsidRPr="00F24CEC" w:rsidSect="00297A92">
          <w:headerReference w:type="default" r:id="rId11"/>
          <w:footerReference w:type="default" r:id="rId12"/>
          <w:pgSz w:w="11909" w:h="16834" w:code="9"/>
          <w:pgMar w:top="1418" w:right="1134" w:bottom="1418" w:left="1418" w:header="850" w:footer="850" w:gutter="0"/>
          <w:cols w:space="720"/>
          <w:docGrid w:linePitch="360"/>
        </w:sectPr>
      </w:pPr>
    </w:p>
    <w:p w:rsidR="00662EC3" w:rsidRPr="00F24CEC" w:rsidRDefault="00662EC3" w:rsidP="00662EC3">
      <w:pPr>
        <w:pStyle w:val="Heading1"/>
        <w:suppressAutoHyphens/>
        <w:ind w:left="360"/>
        <w:rPr>
          <w:i w:val="0"/>
          <w:sz w:val="22"/>
          <w:szCs w:val="22"/>
        </w:rPr>
      </w:pPr>
    </w:p>
    <w:p w:rsidR="00662EC3" w:rsidRPr="00F24CEC" w:rsidRDefault="00662EC3" w:rsidP="00662EC3">
      <w:pPr>
        <w:pStyle w:val="Heading1"/>
        <w:numPr>
          <w:ilvl w:val="0"/>
          <w:numId w:val="1"/>
        </w:numPr>
        <w:suppressAutoHyphens/>
        <w:ind w:left="360"/>
        <w:rPr>
          <w:i w:val="0"/>
          <w:sz w:val="24"/>
          <w:szCs w:val="24"/>
        </w:rPr>
      </w:pPr>
      <w:r w:rsidRPr="00F24CEC">
        <w:rPr>
          <w:i w:val="0"/>
          <w:sz w:val="24"/>
          <w:szCs w:val="24"/>
          <w:lang w:val="id-ID"/>
        </w:rPr>
        <w:t>Introduction</w:t>
      </w:r>
      <w:r w:rsidRPr="00F24CEC">
        <w:rPr>
          <w:i w:val="0"/>
          <w:sz w:val="24"/>
          <w:szCs w:val="24"/>
        </w:rPr>
        <w:t xml:space="preserve"> </w:t>
      </w:r>
    </w:p>
    <w:p w:rsidR="00C9603E" w:rsidRPr="00F24CEC" w:rsidRDefault="00C9603E" w:rsidP="00C9603E">
      <w:pPr>
        <w:ind w:firstLine="567"/>
        <w:jc w:val="both"/>
      </w:pPr>
      <w:r w:rsidRPr="00F24CEC">
        <w:t>Significant changes in environmental conditions recently have been caused by unethical and irresponsible company behavior, such as in the case of environmental damage at unconventional tin mining sites on the coast of Bangka-Belitung Island, and the conflict between PT Freeport Indonesia and the Papuan people (</w:t>
      </w:r>
      <w:proofErr w:type="spellStart"/>
      <w:r w:rsidRPr="00F24CEC">
        <w:t>Apriyanti</w:t>
      </w:r>
      <w:proofErr w:type="spellEnd"/>
      <w:r w:rsidRPr="00F24CEC">
        <w:t xml:space="preserve"> &amp; </w:t>
      </w:r>
      <w:proofErr w:type="spellStart"/>
      <w:r w:rsidRPr="00F24CEC">
        <w:t>Budiasih</w:t>
      </w:r>
      <w:proofErr w:type="spellEnd"/>
      <w:r w:rsidRPr="00F24CEC">
        <w:t>, 2016). Along with the increase in unethical and irresponsible corporate behavior, awareness of Corporate Social Responsibility (CSR) is also increasing globally. CSR not only emphasizes sustainable business, but also underscores responsibility towards an ever-changing ecosystem. Many companies see CSR as an important tool to improve their image. Therefore, currently, companies cannot ignore the importance of CSR for long-term sustainability (</w:t>
      </w:r>
      <w:proofErr w:type="spellStart"/>
      <w:r w:rsidRPr="00F24CEC">
        <w:t>Soemitra</w:t>
      </w:r>
      <w:proofErr w:type="spellEnd"/>
      <w:r w:rsidRPr="00F24CEC">
        <w:t>, 2017). As awareness of corporate social responsibility (CSR) increases throughout the world, Islamic banks must ensure that their CSR practices comply with sharia principles. When CSR violations occur, a quick response and commitment to correcting wrong practices can help Islamic banks restore their reputation and improve relationships with stakeholders. This entire phenomenon highlights the importance of ethics, environment and social responsibility in influencing the reputation of Islamic banks. When CSR violations occur, a quick response and commitment to correcting wrong practices can help Islamic banks restore their reputation and improve relationships with stakeholders. This entire phenomenon highlights the importance of ethics, environment and social responsibility in influencing the reputation of Islamic banks. When CSR violations occur, a quick response and commitment to correcting wrong practices can help Islamic banks restore their reputation and improve relationships with stakeholders. This entire phenomenon highlights the importance of ethics, environment and social responsibility in influencing the reputation of Islamic banks.</w:t>
      </w:r>
    </w:p>
    <w:p w:rsidR="00C9603E" w:rsidRPr="00F24CEC" w:rsidRDefault="00C9603E" w:rsidP="00C9603E">
      <w:pPr>
        <w:ind w:firstLine="567"/>
        <w:jc w:val="both"/>
      </w:pPr>
      <w:r w:rsidRPr="00F24CEC">
        <w:t xml:space="preserve">Bank </w:t>
      </w:r>
      <w:proofErr w:type="spellStart"/>
      <w:r w:rsidRPr="00F24CEC">
        <w:t>Syariah</w:t>
      </w:r>
      <w:proofErr w:type="spellEnd"/>
      <w:r w:rsidRPr="00F24CEC">
        <w:t xml:space="preserve"> Indonesia (BSI) is one of the largest sharia banks in Indonesia with an extensive network. The Bank has implemented a due diligence method for each core CSR subject, which includes: Conducting employee and customer satisfaction surveys. Increasing employee competency regarding CSR and sustainable finance through training organized by BSI Corporate University in collaboration with partners who are experts in the field of CSR and sustainable finance .Implementing bank guidelines in the distribution of financing to fulfill aspects of Environmental Impact Analysis (</w:t>
      </w:r>
      <w:proofErr w:type="spellStart"/>
      <w:r w:rsidRPr="00F24CEC">
        <w:t>Amdal</w:t>
      </w:r>
      <w:proofErr w:type="spellEnd"/>
      <w:r w:rsidRPr="00F24CEC">
        <w:t>) in the Micro, Small and Medium Enterprises (MSME), commercial and corporate segments. In 2019 BSI issued a CSR budget of 3,145.9 million, in 2021 the CSR budget issued by BSI was 187.14 billion, this is 2,000 higher.</w:t>
      </w:r>
    </w:p>
    <w:p w:rsidR="00C9603E" w:rsidRPr="00F24CEC" w:rsidRDefault="00C9603E" w:rsidP="00C9603E">
      <w:pPr>
        <w:ind w:firstLine="567"/>
        <w:jc w:val="both"/>
      </w:pPr>
      <w:r w:rsidRPr="00F24CEC">
        <w:t xml:space="preserve">Bank </w:t>
      </w:r>
      <w:proofErr w:type="spellStart"/>
      <w:r w:rsidRPr="00F24CEC">
        <w:t>Muamalat</w:t>
      </w:r>
      <w:proofErr w:type="spellEnd"/>
      <w:r w:rsidRPr="00F24CEC">
        <w:t xml:space="preserve"> Indonesia (BMI) is a sharia bank that has been operating since 1992. BMI offers various banking products and services that follow sharia principles. "</w:t>
      </w:r>
      <w:proofErr w:type="spellStart"/>
      <w:r w:rsidRPr="00F24CEC">
        <w:t>Muamalat</w:t>
      </w:r>
      <w:proofErr w:type="spellEnd"/>
      <w:r w:rsidRPr="00F24CEC">
        <w:t xml:space="preserve"> Achievement School is our commitment to support government programs in the education sector in the form of educational assistance for students/ I have achievements from underprivileged families and facilities and infrastructure to improve the quality of teaching and learning activities in schools, universities and Islamic boarding schools." In 2019 BMI issued a CSR budget of 11,429,745,051. In 2021 BMI issued a budget of 7.78 billion, down 16 .2% from 2020 which amounted to 9.29 billion. And in 2022 BMI will issue a CSR budget of 5.93 billion.</w:t>
      </w:r>
    </w:p>
    <w:p w:rsidR="00C9603E" w:rsidRPr="00F24CEC" w:rsidRDefault="00C9603E" w:rsidP="00C9603E">
      <w:pPr>
        <w:ind w:firstLine="567"/>
        <w:jc w:val="both"/>
      </w:pPr>
      <w:r w:rsidRPr="00F24CEC">
        <w:t xml:space="preserve">BCA </w:t>
      </w:r>
      <w:proofErr w:type="spellStart"/>
      <w:r w:rsidRPr="00F24CEC">
        <w:t>Syariah</w:t>
      </w:r>
      <w:proofErr w:type="spellEnd"/>
      <w:r w:rsidRPr="00F24CEC">
        <w:t xml:space="preserve"> is a subsidiary of Bank Central Asia (BCA) which focuses on sharia-based financial services. BCA </w:t>
      </w:r>
      <w:proofErr w:type="spellStart"/>
      <w:r w:rsidRPr="00F24CEC">
        <w:t>Syariah</w:t>
      </w:r>
      <w:proofErr w:type="spellEnd"/>
      <w:r w:rsidRPr="00F24CEC">
        <w:t xml:space="preserve"> is committed to providing products and services that comply with sharia principles, as well as making positive contributions to society and the surrounding environment. BCA </w:t>
      </w:r>
      <w:proofErr w:type="spellStart"/>
      <w:r w:rsidRPr="00F24CEC">
        <w:t>Syariah</w:t>
      </w:r>
      <w:proofErr w:type="spellEnd"/>
      <w:r w:rsidRPr="00F24CEC">
        <w:t xml:space="preserve"> implements a holistic social and environmental responsibility </w:t>
      </w:r>
      <w:r w:rsidRPr="00F24CEC">
        <w:lastRenderedPageBreak/>
        <w:t xml:space="preserve">program. These programs cover various aspects such as education, health, environment and community empowerment. One of the programs run by BCA </w:t>
      </w:r>
      <w:proofErr w:type="spellStart"/>
      <w:r w:rsidRPr="00F24CEC">
        <w:t>Syariah</w:t>
      </w:r>
      <w:proofErr w:type="spellEnd"/>
      <w:r w:rsidRPr="00F24CEC">
        <w:t xml:space="preserve"> is the "BCA </w:t>
      </w:r>
      <w:proofErr w:type="spellStart"/>
      <w:r w:rsidRPr="00F24CEC">
        <w:t>Syariah</w:t>
      </w:r>
      <w:proofErr w:type="spellEnd"/>
      <w:r w:rsidRPr="00F24CEC">
        <w:t xml:space="preserve"> Cares for Education" program. This program aims to increase access to quality education for children from disadvantaged families. BCA </w:t>
      </w:r>
      <w:proofErr w:type="spellStart"/>
      <w:r w:rsidRPr="00F24CEC">
        <w:t>Syariah</w:t>
      </w:r>
      <w:proofErr w:type="spellEnd"/>
      <w:r w:rsidRPr="00F24CEC">
        <w:t xml:space="preserve"> collaborates with educational institutions and social foundations to provide scholarships, book donations, and learning facilities for students in need. In 2019 BCA </w:t>
      </w:r>
      <w:proofErr w:type="spellStart"/>
      <w:r w:rsidRPr="00F24CEC">
        <w:t>Syariah</w:t>
      </w:r>
      <w:proofErr w:type="spellEnd"/>
      <w:r w:rsidRPr="00F24CEC">
        <w:t xml:space="preserve"> issued a CSR budget of IDR 632,323,830. </w:t>
      </w:r>
      <w:proofErr w:type="gramStart"/>
      <w:r w:rsidRPr="00F24CEC">
        <w:t>in</w:t>
      </w:r>
      <w:proofErr w:type="gramEnd"/>
      <w:r w:rsidRPr="00F24CEC">
        <w:t xml:space="preserve"> 2020 the total BCA </w:t>
      </w:r>
      <w:proofErr w:type="spellStart"/>
      <w:r w:rsidRPr="00F24CEC">
        <w:t>Syariah</w:t>
      </w:r>
      <w:proofErr w:type="spellEnd"/>
      <w:r w:rsidRPr="00F24CEC">
        <w:t xml:space="preserve"> CSR budget was IDR 676,275,184. In 2021 it was IDR 529.8 million, and in 2022 it was IDR 515.4 million.</w:t>
      </w:r>
    </w:p>
    <w:p w:rsidR="00C9603E" w:rsidRPr="00F24CEC" w:rsidRDefault="00C9603E" w:rsidP="00C9603E">
      <w:pPr>
        <w:ind w:firstLine="567"/>
        <w:jc w:val="both"/>
      </w:pPr>
      <w:r w:rsidRPr="00F24CEC">
        <w:t>These three sharia banks understand the importance of social and environmental responsibility as part of sharia principles. They have a strong commitment to play an active role in improving society and the surrounding environment through the CSR programs they run (</w:t>
      </w:r>
      <w:proofErr w:type="spellStart"/>
      <w:r w:rsidRPr="00F24CEC">
        <w:t>Ridwan</w:t>
      </w:r>
      <w:proofErr w:type="spellEnd"/>
      <w:r w:rsidRPr="00F24CEC">
        <w:t>, 2013). In an effort to increase the positive impact of CSR activities, the three banks also adopt best practices and ensure that their CSR programs are in line with community needs and aspirations. In the context of social and environmental responsibility, it is important to pay attention to Islamic Corporate Social Responsibility (ICSR) disclosures carried out by sharia banks. ICSR is corporate social responsibility with dimensions of Islamic law, Islamic ethics and Islamic economic aspects, based on the teachings of the Koran and Hadith. Through ICSR disclosure, Islamic banks strive to build prosperity in the community around them. In this case, Sharia Bank is not only responsible towards stakeholders, but also aims to gain the pleasure of Allah SWT.</w:t>
      </w:r>
    </w:p>
    <w:p w:rsidR="00C9603E" w:rsidRPr="00F24CEC" w:rsidRDefault="00C9603E" w:rsidP="00F24CEC">
      <w:pPr>
        <w:ind w:firstLine="567"/>
        <w:jc w:val="both"/>
      </w:pPr>
      <w:r w:rsidRPr="00F24CEC">
        <w:t xml:space="preserve">Apart from CSR disclosure, an indicator used to measure the performance of Islamic banks is the </w:t>
      </w:r>
      <w:proofErr w:type="spellStart"/>
      <w:r w:rsidRPr="00F24CEC">
        <w:t>Islamicity</w:t>
      </w:r>
      <w:proofErr w:type="spellEnd"/>
      <w:r w:rsidRPr="00F24CEC">
        <w:t xml:space="preserve"> Performance Index (IPI). IPI is an indicator that assesses the performance of sharia banks based on sharia principles, such as integrity, transparency, fairness and appropriateness in the products and services provided. </w:t>
      </w:r>
      <w:proofErr w:type="spellStart"/>
      <w:proofErr w:type="gramStart"/>
      <w:r w:rsidRPr="00F24CEC">
        <w:t>Islamicity</w:t>
      </w:r>
      <w:proofErr w:type="spellEnd"/>
      <w:r w:rsidRPr="00F24CEC">
        <w:t xml:space="preserve"> Performance Index which measures the performance of Sharia Banks, and CSR, each of which reflects its social performance reporting.</w:t>
      </w:r>
      <w:proofErr w:type="gramEnd"/>
      <w:r w:rsidRPr="00F24CEC">
        <w:t xml:space="preserve"> These two things are done to improve the reputation of Sharia banks in the eyes of </w:t>
      </w:r>
      <w:proofErr w:type="gramStart"/>
      <w:r w:rsidRPr="00F24CEC">
        <w:t>stakeholders</w:t>
      </w:r>
      <w:proofErr w:type="gramEnd"/>
      <w:sdt>
        <w:sdtPr>
          <w:id w:val="981964048"/>
          <w:citation/>
        </w:sdtPr>
        <w:sdtEndPr/>
        <w:sdtContent>
          <w:r w:rsidRPr="00F24CEC">
            <w:fldChar w:fldCharType="begin"/>
          </w:r>
          <w:r w:rsidRPr="00F24CEC">
            <w:instrText xml:space="preserve"> CITATION Mub19 \l 1033 </w:instrText>
          </w:r>
          <w:r w:rsidRPr="00F24CEC">
            <w:fldChar w:fldCharType="separate"/>
          </w:r>
          <w:r w:rsidRPr="00F24CEC">
            <w:rPr>
              <w:noProof/>
            </w:rPr>
            <w:t>(Mubarak, 2019)</w:t>
          </w:r>
          <w:r w:rsidRPr="00F24CEC">
            <w:fldChar w:fldCharType="end"/>
          </w:r>
        </w:sdtContent>
      </w:sdt>
      <w:r w:rsidRPr="00F24CEC">
        <w:t>.</w:t>
      </w:r>
      <w:r w:rsidR="00F24CEC" w:rsidRPr="00F24CEC">
        <w:t xml:space="preserve"> </w:t>
      </w:r>
      <w:r w:rsidRPr="00F24CEC">
        <w:t xml:space="preserve">Company reputation is the perception, image and assessment that stakeholders have of the company. This includes perceptions about the quality of a company's products or services, integrity, social responsibility, financial performance, innovation, employee relations, and environmental impact, among other factors. A company's reputation, as a measure of the overall quality of business decisions, is a valuable resource and difficult to replicate in its </w:t>
      </w:r>
      <w:proofErr w:type="gramStart"/>
      <w:r w:rsidRPr="00F24CEC">
        <w:t>entirety</w:t>
      </w:r>
      <w:proofErr w:type="gramEnd"/>
      <w:sdt>
        <w:sdtPr>
          <w:id w:val="-1601867474"/>
          <w:citation/>
        </w:sdtPr>
        <w:sdtEndPr/>
        <w:sdtContent>
          <w:r w:rsidRPr="00F24CEC">
            <w:fldChar w:fldCharType="begin"/>
          </w:r>
          <w:r w:rsidRPr="00F24CEC">
            <w:rPr>
              <w:i/>
              <w:iCs/>
            </w:rPr>
            <w:instrText xml:space="preserve">CITATION Rui16 \l 1033 </w:instrText>
          </w:r>
          <w:r w:rsidRPr="00F24CEC">
            <w:fldChar w:fldCharType="separate"/>
          </w:r>
          <w:r w:rsidRPr="00F24CEC">
            <w:rPr>
              <w:noProof/>
            </w:rPr>
            <w:t>(Ruiz, 2016)</w:t>
          </w:r>
          <w:r w:rsidRPr="00F24CEC">
            <w:fldChar w:fldCharType="end"/>
          </w:r>
        </w:sdtContent>
      </w:sdt>
      <w:r w:rsidRPr="00F24CEC">
        <w:t>.</w:t>
      </w:r>
      <w:r w:rsidR="00F24CEC" w:rsidRPr="00F24CEC">
        <w:t xml:space="preserve"> </w:t>
      </w:r>
      <w:r w:rsidRPr="00F24CEC">
        <w:t xml:space="preserve">Many previous studies have been conducted examining CSR practices in many companies. One of these studies was by </w:t>
      </w:r>
      <w:proofErr w:type="spellStart"/>
      <w:r w:rsidRPr="00F24CEC">
        <w:t>Trisnawati</w:t>
      </w:r>
      <w:proofErr w:type="spellEnd"/>
      <w:r w:rsidRPr="00F24CEC">
        <w:t>, R. entitled "Measuring the Social Responsibility of Sharia Banking Companies in Indonesia", the results of the analysis show that there is a need to converge the GRI index and ISR index on indicators such as labor, government, economy, and responsibility for products and services (</w:t>
      </w:r>
      <w:proofErr w:type="spellStart"/>
      <w:r w:rsidRPr="00F24CEC">
        <w:t>Isnaini</w:t>
      </w:r>
      <w:proofErr w:type="spellEnd"/>
      <w:r w:rsidRPr="00F24CEC">
        <w:t>, 2016).</w:t>
      </w:r>
    </w:p>
    <w:p w:rsidR="00C9603E" w:rsidRPr="00F24CEC" w:rsidRDefault="00C9603E" w:rsidP="00C9603E">
      <w:pPr>
        <w:ind w:firstLine="567"/>
        <w:jc w:val="both"/>
      </w:pPr>
      <w:r w:rsidRPr="00F24CEC">
        <w:t xml:space="preserve">Another research by </w:t>
      </w:r>
      <w:proofErr w:type="spellStart"/>
      <w:r w:rsidRPr="00F24CEC">
        <w:t>Djunaedi</w:t>
      </w:r>
      <w:proofErr w:type="spellEnd"/>
      <w:r w:rsidRPr="00F24CEC">
        <w:t xml:space="preserve"> entitled "The Influence of Corporate Social Responsibility (CSR) and Product Quality on Bank Image and Saving Decisions at BNI </w:t>
      </w:r>
      <w:proofErr w:type="spellStart"/>
      <w:r w:rsidRPr="00F24CEC">
        <w:t>Syariah</w:t>
      </w:r>
      <w:proofErr w:type="spellEnd"/>
      <w:r w:rsidRPr="00F24CEC">
        <w:t xml:space="preserve"> Kediri City" shows that BNI </w:t>
      </w:r>
      <w:proofErr w:type="spellStart"/>
      <w:r w:rsidRPr="00F24CEC">
        <w:t>Syariah</w:t>
      </w:r>
      <w:proofErr w:type="spellEnd"/>
      <w:r w:rsidRPr="00F24CEC">
        <w:t xml:space="preserve"> Bank CSR in Kediri City has an effect on the bank's image. The results of this research show that the credibility of Sharia Banks, especially Bank BNI </w:t>
      </w:r>
      <w:proofErr w:type="spellStart"/>
      <w:r w:rsidRPr="00F24CEC">
        <w:t>Syariah</w:t>
      </w:r>
      <w:proofErr w:type="spellEnd"/>
      <w:r w:rsidRPr="00F24CEC">
        <w:t>, has been recognized and can be seen from the public's interest in saving at the bank (</w:t>
      </w:r>
      <w:proofErr w:type="spellStart"/>
      <w:r w:rsidRPr="00F24CEC">
        <w:t>Itamaji</w:t>
      </w:r>
      <w:proofErr w:type="spellEnd"/>
      <w:r w:rsidRPr="00F24CEC">
        <w:t>, 2018)</w:t>
      </w:r>
    </w:p>
    <w:p w:rsidR="00C9603E" w:rsidRPr="00F24CEC" w:rsidRDefault="00C9603E" w:rsidP="00C9603E">
      <w:pPr>
        <w:ind w:firstLine="567"/>
        <w:jc w:val="both"/>
      </w:pPr>
      <w:r w:rsidRPr="00F24CEC">
        <w:t xml:space="preserve">Furthermore, research by </w:t>
      </w:r>
      <w:proofErr w:type="spellStart"/>
      <w:r w:rsidRPr="00F24CEC">
        <w:t>Arifin</w:t>
      </w:r>
      <w:proofErr w:type="spellEnd"/>
      <w:r w:rsidRPr="00F24CEC">
        <w:t xml:space="preserve"> and </w:t>
      </w:r>
      <w:proofErr w:type="spellStart"/>
      <w:r w:rsidRPr="00F24CEC">
        <w:t>Wardani</w:t>
      </w:r>
      <w:proofErr w:type="spellEnd"/>
      <w:r w:rsidRPr="00F24CEC">
        <w:t xml:space="preserve"> (2016) with the title "Islamic Corporate Social Responsibility Disclosure, Reputation and Performance Finance: Study of Sharia Banks in </w:t>
      </w:r>
      <w:r w:rsidRPr="00F24CEC">
        <w:lastRenderedPageBreak/>
        <w:t>Indonesia" shows that Islamic CSR has a significant positive effect on company reputation, Islamic CSR has no effect on ROA, and Islamic CSR (ICSR) has a significant positive impact on ROE.</w:t>
      </w:r>
    </w:p>
    <w:p w:rsidR="00C9603E" w:rsidRPr="00F24CEC" w:rsidRDefault="00C9603E" w:rsidP="00C9603E">
      <w:pPr>
        <w:ind w:firstLine="567"/>
        <w:jc w:val="both"/>
      </w:pPr>
      <w:r w:rsidRPr="00F24CEC">
        <w:t xml:space="preserve">According to research by </w:t>
      </w:r>
      <w:proofErr w:type="spellStart"/>
      <w:r w:rsidRPr="00F24CEC">
        <w:t>Syurmita</w:t>
      </w:r>
      <w:proofErr w:type="spellEnd"/>
      <w:r w:rsidRPr="00F24CEC">
        <w:t xml:space="preserve"> &amp; </w:t>
      </w:r>
      <w:proofErr w:type="spellStart"/>
      <w:r w:rsidRPr="00F24CEC">
        <w:t>Fircarina</w:t>
      </w:r>
      <w:proofErr w:type="spellEnd"/>
      <w:r w:rsidRPr="00F24CEC">
        <w:t xml:space="preserve"> (2020), "The Influence of Zakat Performance Ratio, Sharia CSR, and the Implementation of Sharia Business Good Governance on the Financial Performance of Sharia Commercial Banks in Indonesia" shows that zakat, Sharia CSR, and the implementation of Sharia Business Good Governance have an effect on financial performance Sharia Commercial Banks in Indonesia. In Indonesia, it shows that zakat has a very beneficial impact on the company's performance, regardless of company </w:t>
      </w:r>
      <w:proofErr w:type="gramStart"/>
      <w:r w:rsidRPr="00F24CEC">
        <w:t>performance,</w:t>
      </w:r>
      <w:proofErr w:type="gramEnd"/>
      <w:r w:rsidRPr="00F24CEC">
        <w:t xml:space="preserve"> zakat has a small impact on its reputation. Company performance and reputation are significantly positively influenced by ICSR, but neither is significantly positively influenced by the implementation of GGBS. For companies, implementing GGBS has no impact on business position and productivity or company performance. </w:t>
      </w:r>
      <w:proofErr w:type="gramStart"/>
      <w:r w:rsidRPr="00F24CEC">
        <w:t xml:space="preserve">However, recent research by </w:t>
      </w:r>
      <w:proofErr w:type="spellStart"/>
      <w:r w:rsidRPr="00F24CEC">
        <w:t>Husnaini</w:t>
      </w:r>
      <w:proofErr w:type="spellEnd"/>
      <w:r w:rsidRPr="00F24CEC">
        <w:t xml:space="preserve"> et al.</w:t>
      </w:r>
      <w:proofErr w:type="gramEnd"/>
    </w:p>
    <w:p w:rsidR="00C9603E" w:rsidRPr="00F24CEC" w:rsidRDefault="00C9603E" w:rsidP="00F24CEC">
      <w:pPr>
        <w:ind w:left="993" w:hanging="426"/>
        <w:jc w:val="both"/>
      </w:pPr>
      <w:r w:rsidRPr="00F24CEC">
        <w:t>H0: Islamic Corporate Social Responsibility has a negative effect on company reputation in Indonesia.</w:t>
      </w:r>
    </w:p>
    <w:p w:rsidR="00C9603E" w:rsidRPr="00F24CEC" w:rsidRDefault="00C9603E" w:rsidP="00C9603E">
      <w:pPr>
        <w:ind w:firstLine="567"/>
        <w:jc w:val="both"/>
      </w:pPr>
      <w:r w:rsidRPr="00F24CEC">
        <w:t xml:space="preserve">Furthermore, research by </w:t>
      </w:r>
      <w:proofErr w:type="spellStart"/>
      <w:r w:rsidRPr="00F24CEC">
        <w:t>Oktada</w:t>
      </w:r>
      <w:proofErr w:type="spellEnd"/>
      <w:r w:rsidRPr="00F24CEC">
        <w:t xml:space="preserve"> &amp; </w:t>
      </w:r>
      <w:proofErr w:type="spellStart"/>
      <w:r w:rsidRPr="00F24CEC">
        <w:t>Suryani</w:t>
      </w:r>
      <w:proofErr w:type="spellEnd"/>
      <w:r w:rsidRPr="00F24CEC">
        <w:t xml:space="preserve"> in 2016 entitled "The Impact of Corporate Social Responsibility (CSR) on Customer Trust and Company Reputation: The Case of BCA Bank" shows that CSR significantly and positively influences the company's reputation, customer trust is positively influenced and significantly by CSR. Supported In a study conducted by </w:t>
      </w:r>
      <w:proofErr w:type="spellStart"/>
      <w:r w:rsidRPr="00F24CEC">
        <w:t>Wardani</w:t>
      </w:r>
      <w:proofErr w:type="spellEnd"/>
      <w:r w:rsidRPr="00F24CEC">
        <w:t xml:space="preserve"> (2014), results were found that support the view that Islamic Corporate Social Responsibility contributes positively and significantly to the company's reputation.</w:t>
      </w:r>
    </w:p>
    <w:p w:rsidR="00C9603E" w:rsidRPr="00F24CEC" w:rsidRDefault="00C9603E" w:rsidP="00F24CEC">
      <w:pPr>
        <w:ind w:left="993" w:hanging="426"/>
        <w:jc w:val="both"/>
      </w:pPr>
      <w:r w:rsidRPr="00F24CEC">
        <w:t>Ha: Islamic Corporate Social Responsibility significantly influences company reputation in Indonesia.</w:t>
      </w:r>
    </w:p>
    <w:p w:rsidR="00C9603E" w:rsidRPr="00F24CEC" w:rsidRDefault="00C9603E" w:rsidP="00C9603E">
      <w:pPr>
        <w:ind w:firstLine="567"/>
        <w:jc w:val="both"/>
      </w:pPr>
      <w:r w:rsidRPr="00F24CEC">
        <w:t xml:space="preserve">There are limitations to previous research which specifically focused on disclosure of Corporate Social Responsibility (CSR) and </w:t>
      </w:r>
      <w:proofErr w:type="spellStart"/>
      <w:r w:rsidRPr="00F24CEC">
        <w:t>Islamicity</w:t>
      </w:r>
      <w:proofErr w:type="spellEnd"/>
      <w:r w:rsidRPr="00F24CEC">
        <w:t xml:space="preserve"> Performance Index (IPI) in Islamic banks in Indonesia. Although there is research on CSR and IPI in conventional banks, research examining Islamic banks is still limited. There is a lack of empirical studies that directly link CSR and IPI disclosures with company reputation in the context of Islamic banks in Indonesia. Although there is research on the relationship between CSR and company reputation, research that focuses on Islamic banks in Indonesia is still rarely conducted. This research aims to examine the influence of Islamic CSR and IPI disclosures on corporate reputation at Islamic banks in Indonesia. This will provide a more comprehensive understanding of the relationship between CSR and IPI disclosures and company reputation in the context of Islamic banks. </w:t>
      </w:r>
      <w:proofErr w:type="gramStart"/>
      <w:r w:rsidRPr="00F24CEC">
        <w:t>Identifying factors that influence the level of CSR and IPI disclosure in Islamic banks in Indonesia.</w:t>
      </w:r>
      <w:proofErr w:type="gramEnd"/>
    </w:p>
    <w:p w:rsidR="00C9603E" w:rsidRPr="00F24CEC" w:rsidRDefault="00C9603E" w:rsidP="00C9603E">
      <w:pPr>
        <w:tabs>
          <w:tab w:val="left" w:pos="2521"/>
          <w:tab w:val="left" w:pos="3355"/>
          <w:tab w:val="left" w:pos="4710"/>
          <w:tab w:val="left" w:pos="5968"/>
          <w:tab w:val="left" w:pos="6702"/>
          <w:tab w:val="left" w:pos="7208"/>
          <w:tab w:val="left" w:pos="7521"/>
        </w:tabs>
        <w:ind w:right="-59" w:firstLine="360"/>
        <w:jc w:val="both"/>
        <w:rPr>
          <w:b/>
        </w:rPr>
      </w:pPr>
      <w:r w:rsidRPr="00F24CEC">
        <w:t xml:space="preserve">By identifying the factors that influence CSR and IPI disclosure, this research will provide insight into the factors that need to be considered in efforts to increase CSR and IPI disclosure in Islamic banks in Indonesia. </w:t>
      </w:r>
      <w:proofErr w:type="gramStart"/>
      <w:r w:rsidRPr="00F24CEC">
        <w:t>Analyzing the relationship between CSR and IPI disclosures and company reputation in Islamic banks in Indonesia.</w:t>
      </w:r>
      <w:proofErr w:type="gramEnd"/>
      <w:r w:rsidRPr="00F24CEC">
        <w:t xml:space="preserve"> This analysis will provide a deeper understanding of the impact of CSR and IPI disclosures on company reputation in the context of Islamic banks in Indonesia.</w:t>
      </w:r>
    </w:p>
    <w:p w:rsidR="00C9603E" w:rsidRPr="00F24CEC" w:rsidRDefault="00C9603E" w:rsidP="00C9603E">
      <w:pPr>
        <w:tabs>
          <w:tab w:val="left" w:pos="2521"/>
          <w:tab w:val="left" w:pos="3355"/>
          <w:tab w:val="left" w:pos="4710"/>
          <w:tab w:val="left" w:pos="5968"/>
          <w:tab w:val="left" w:pos="6702"/>
          <w:tab w:val="left" w:pos="7208"/>
          <w:tab w:val="left" w:pos="7521"/>
        </w:tabs>
        <w:ind w:right="-59" w:firstLine="360"/>
        <w:jc w:val="both"/>
      </w:pPr>
    </w:p>
    <w:p w:rsidR="00C9603E" w:rsidRPr="00F24CEC" w:rsidRDefault="00C9603E" w:rsidP="00C9603E"/>
    <w:p w:rsidR="00662EC3" w:rsidRPr="00F24CEC" w:rsidRDefault="00662EC3" w:rsidP="00662EC3">
      <w:pPr>
        <w:pStyle w:val="Heading1"/>
        <w:numPr>
          <w:ilvl w:val="0"/>
          <w:numId w:val="1"/>
        </w:numPr>
        <w:suppressAutoHyphens/>
        <w:ind w:left="360"/>
        <w:rPr>
          <w:i w:val="0"/>
          <w:sz w:val="24"/>
          <w:szCs w:val="24"/>
        </w:rPr>
      </w:pPr>
      <w:r w:rsidRPr="00F24CEC">
        <w:rPr>
          <w:i w:val="0"/>
          <w:sz w:val="24"/>
          <w:szCs w:val="24"/>
          <w:lang w:val="id-ID"/>
        </w:rPr>
        <w:lastRenderedPageBreak/>
        <w:t>Research Method</w:t>
      </w:r>
    </w:p>
    <w:p w:rsidR="00C9603E" w:rsidRPr="00F24CEC" w:rsidRDefault="00C9603E" w:rsidP="00C9603E">
      <w:pPr>
        <w:ind w:firstLine="567"/>
        <w:jc w:val="both"/>
      </w:pPr>
      <w:r w:rsidRPr="00F24CEC">
        <w:t xml:space="preserve">To examine the influence of Islamic Corporate Social Responsibility (CSR) and </w:t>
      </w:r>
      <w:proofErr w:type="spellStart"/>
      <w:r w:rsidRPr="00F24CEC">
        <w:t>Islamicity</w:t>
      </w:r>
      <w:proofErr w:type="spellEnd"/>
      <w:r w:rsidRPr="00F24CEC">
        <w:t xml:space="preserve"> Performance Index (IPI) disclosures on company reputation, this research uses quantitative research methods, which aim to measure how much influence the independent variable (ICSR) has on the dependent variable (company reputation) using numbers or numeric data. Research design: This research uses a cross-sectional research design, which was carried out at a certain time by collecting data from Sharia Commercial Banks registered with the OJK which were randomly selected from the population studied.</w:t>
      </w:r>
    </w:p>
    <w:p w:rsidR="00C9603E" w:rsidRPr="00F24CEC" w:rsidRDefault="00C9603E" w:rsidP="00C9603E">
      <w:pPr>
        <w:ind w:firstLine="567"/>
        <w:jc w:val="both"/>
      </w:pPr>
      <w:r w:rsidRPr="00F24CEC">
        <w:t xml:space="preserve">Population and sample: The </w:t>
      </w:r>
      <w:proofErr w:type="gramStart"/>
      <w:r w:rsidRPr="00F24CEC">
        <w:t>population in this study are</w:t>
      </w:r>
      <w:proofErr w:type="gramEnd"/>
      <w:r w:rsidRPr="00F24CEC">
        <w:t xml:space="preserve"> 3 Islamic commercial banks in Indonesia. The sample was selected using a purposive sampling technique. From the sample used, it can be concluded that this research uses secondary data from the Annual Report of three Islamic commercial banks in Indonesia. The data will then be analyzed to measure corporate social responsibility (CSR) in the Islamic banking industry in Indonesia and its impact on company reputation. In this research, an analysis of the Islamic Social Responsibility (ISR) Index was carried out for indicators such as labor, government, economy, and responsibility for products and services. Then, an analysis was also carried out on the influence of CSR on the image of Sharia banks.</w:t>
      </w:r>
    </w:p>
    <w:p w:rsidR="00C9603E" w:rsidRPr="00F24CEC" w:rsidRDefault="00C9603E" w:rsidP="00C9603E">
      <w:pPr>
        <w:ind w:firstLine="567"/>
        <w:jc w:val="both"/>
        <w:rPr>
          <w:lang w:eastAsia="en-ID"/>
        </w:rPr>
      </w:pPr>
      <w:r w:rsidRPr="00F24CEC">
        <w:t>By using this sample, it is hoped that it can provide a representative picture of corporate social responsibility in the Islamic banking industry in Indonesia and its influence on company reputation. However, it should be remembered that the use of this sample may not represent the condition of the entire Islamic banking industry in Indonesia as a whole, so it is necessary to take a wider sample or use different research methods to obtain a more complete picture. The following is a table listing research samples along with the names of Sharia Commercial Banks that are research samples and their data sources:</w:t>
      </w:r>
    </w:p>
    <w:p w:rsidR="00C9603E" w:rsidRPr="00F24CEC" w:rsidRDefault="00C9603E" w:rsidP="00C9603E">
      <w:pPr>
        <w:ind w:firstLine="567"/>
        <w:jc w:val="both"/>
      </w:pPr>
    </w:p>
    <w:tbl>
      <w:tblPr>
        <w:tblStyle w:val="TableGrid"/>
        <w:tblW w:w="7229" w:type="dxa"/>
        <w:tblInd w:w="817" w:type="dxa"/>
        <w:tblLook w:val="04A0" w:firstRow="1" w:lastRow="0" w:firstColumn="1" w:lastColumn="0" w:noHBand="0" w:noVBand="1"/>
      </w:tblPr>
      <w:tblGrid>
        <w:gridCol w:w="576"/>
        <w:gridCol w:w="3722"/>
        <w:gridCol w:w="2931"/>
      </w:tblGrid>
      <w:tr w:rsidR="00F24CEC" w:rsidRPr="00F24CEC" w:rsidTr="0096614F">
        <w:trPr>
          <w:trHeight w:val="200"/>
        </w:trPr>
        <w:tc>
          <w:tcPr>
            <w:tcW w:w="576" w:type="dxa"/>
          </w:tcPr>
          <w:p w:rsidR="00C9603E" w:rsidRPr="00F24CEC" w:rsidRDefault="00C9603E" w:rsidP="0096614F">
            <w:pPr>
              <w:rPr>
                <w:b/>
                <w:bCs/>
              </w:rPr>
            </w:pPr>
            <w:r w:rsidRPr="00F24CEC">
              <w:rPr>
                <w:b/>
                <w:bCs/>
              </w:rPr>
              <w:t>No</w:t>
            </w:r>
          </w:p>
        </w:tc>
        <w:tc>
          <w:tcPr>
            <w:tcW w:w="3722" w:type="dxa"/>
          </w:tcPr>
          <w:p w:rsidR="00C9603E" w:rsidRPr="00F24CEC" w:rsidRDefault="00C9603E" w:rsidP="0096614F">
            <w:pPr>
              <w:ind w:firstLine="567"/>
              <w:jc w:val="center"/>
              <w:rPr>
                <w:b/>
                <w:bCs/>
              </w:rPr>
            </w:pPr>
            <w:r w:rsidRPr="00F24CEC">
              <w:rPr>
                <w:b/>
                <w:bCs/>
              </w:rPr>
              <w:t>Sharia Commercial Bank</w:t>
            </w:r>
          </w:p>
        </w:tc>
        <w:tc>
          <w:tcPr>
            <w:tcW w:w="2931" w:type="dxa"/>
          </w:tcPr>
          <w:p w:rsidR="00C9603E" w:rsidRPr="00F24CEC" w:rsidRDefault="00C9603E" w:rsidP="0096614F">
            <w:pPr>
              <w:ind w:firstLine="567"/>
              <w:jc w:val="center"/>
              <w:rPr>
                <w:b/>
                <w:bCs/>
              </w:rPr>
            </w:pPr>
            <w:r w:rsidRPr="00F24CEC">
              <w:rPr>
                <w:b/>
                <w:bCs/>
              </w:rPr>
              <w:t>Data</w:t>
            </w:r>
          </w:p>
        </w:tc>
      </w:tr>
      <w:tr w:rsidR="00F24CEC" w:rsidRPr="00F24CEC" w:rsidTr="0096614F">
        <w:trPr>
          <w:trHeight w:val="60"/>
        </w:trPr>
        <w:tc>
          <w:tcPr>
            <w:tcW w:w="576" w:type="dxa"/>
          </w:tcPr>
          <w:p w:rsidR="00C9603E" w:rsidRPr="00F24CEC" w:rsidRDefault="00C9603E" w:rsidP="0096614F">
            <w:r w:rsidRPr="00F24CEC">
              <w:t>1</w:t>
            </w:r>
          </w:p>
        </w:tc>
        <w:tc>
          <w:tcPr>
            <w:tcW w:w="3722" w:type="dxa"/>
          </w:tcPr>
          <w:p w:rsidR="00C9603E" w:rsidRPr="00F24CEC" w:rsidRDefault="00C9603E" w:rsidP="0096614F">
            <w:pPr>
              <w:ind w:firstLine="567"/>
            </w:pPr>
            <w:r w:rsidRPr="00F24CEC">
              <w:t>PT. Indonesian Sharia Bank</w:t>
            </w:r>
          </w:p>
        </w:tc>
        <w:tc>
          <w:tcPr>
            <w:tcW w:w="2931" w:type="dxa"/>
          </w:tcPr>
          <w:p w:rsidR="00C9603E" w:rsidRPr="00F24CEC" w:rsidRDefault="00C9603E" w:rsidP="0096614F">
            <w:pPr>
              <w:ind w:firstLine="567"/>
            </w:pPr>
            <w:r w:rsidRPr="00F24CEC">
              <w:t>Annual Report</w:t>
            </w:r>
          </w:p>
        </w:tc>
      </w:tr>
      <w:tr w:rsidR="00F24CEC" w:rsidRPr="00F24CEC" w:rsidTr="0096614F">
        <w:trPr>
          <w:trHeight w:val="60"/>
        </w:trPr>
        <w:tc>
          <w:tcPr>
            <w:tcW w:w="576" w:type="dxa"/>
          </w:tcPr>
          <w:p w:rsidR="00C9603E" w:rsidRPr="00F24CEC" w:rsidRDefault="00C9603E" w:rsidP="0096614F">
            <w:r w:rsidRPr="00F24CEC">
              <w:t>2</w:t>
            </w:r>
          </w:p>
        </w:tc>
        <w:tc>
          <w:tcPr>
            <w:tcW w:w="3722" w:type="dxa"/>
          </w:tcPr>
          <w:p w:rsidR="00C9603E" w:rsidRPr="00F24CEC" w:rsidRDefault="00C9603E" w:rsidP="0096614F">
            <w:pPr>
              <w:ind w:firstLine="567"/>
            </w:pPr>
            <w:r w:rsidRPr="00F24CEC">
              <w:t xml:space="preserve">PT. Bank </w:t>
            </w:r>
            <w:proofErr w:type="spellStart"/>
            <w:r w:rsidRPr="00F24CEC">
              <w:t>Muamalat</w:t>
            </w:r>
            <w:proofErr w:type="spellEnd"/>
            <w:r w:rsidRPr="00F24CEC">
              <w:t xml:space="preserve"> Indonesia</w:t>
            </w:r>
          </w:p>
        </w:tc>
        <w:tc>
          <w:tcPr>
            <w:tcW w:w="2931" w:type="dxa"/>
          </w:tcPr>
          <w:p w:rsidR="00C9603E" w:rsidRPr="00F24CEC" w:rsidRDefault="00C9603E" w:rsidP="0096614F">
            <w:pPr>
              <w:ind w:firstLine="567"/>
            </w:pPr>
            <w:r w:rsidRPr="00F24CEC">
              <w:t>Annual Report</w:t>
            </w:r>
          </w:p>
        </w:tc>
      </w:tr>
      <w:tr w:rsidR="00F24CEC" w:rsidRPr="00F24CEC" w:rsidTr="0096614F">
        <w:trPr>
          <w:trHeight w:val="60"/>
        </w:trPr>
        <w:tc>
          <w:tcPr>
            <w:tcW w:w="576" w:type="dxa"/>
          </w:tcPr>
          <w:p w:rsidR="00C9603E" w:rsidRPr="00F24CEC" w:rsidRDefault="00C9603E" w:rsidP="0096614F">
            <w:r w:rsidRPr="00F24CEC">
              <w:t>3</w:t>
            </w:r>
          </w:p>
        </w:tc>
        <w:tc>
          <w:tcPr>
            <w:tcW w:w="3722" w:type="dxa"/>
          </w:tcPr>
          <w:p w:rsidR="00C9603E" w:rsidRPr="00F24CEC" w:rsidRDefault="00C9603E" w:rsidP="0096614F">
            <w:pPr>
              <w:ind w:firstLine="567"/>
            </w:pPr>
            <w:r w:rsidRPr="00F24CEC">
              <w:t xml:space="preserve">PT. BCA </w:t>
            </w:r>
            <w:proofErr w:type="spellStart"/>
            <w:r w:rsidRPr="00F24CEC">
              <w:t>Syariah</w:t>
            </w:r>
            <w:proofErr w:type="spellEnd"/>
            <w:r w:rsidRPr="00F24CEC">
              <w:t xml:space="preserve"> Bank</w:t>
            </w:r>
          </w:p>
        </w:tc>
        <w:tc>
          <w:tcPr>
            <w:tcW w:w="2931" w:type="dxa"/>
          </w:tcPr>
          <w:p w:rsidR="00C9603E" w:rsidRPr="00F24CEC" w:rsidRDefault="00C9603E" w:rsidP="0096614F">
            <w:pPr>
              <w:ind w:firstLine="567"/>
            </w:pPr>
            <w:r w:rsidRPr="00F24CEC">
              <w:t>Annual Report</w:t>
            </w:r>
          </w:p>
        </w:tc>
      </w:tr>
    </w:tbl>
    <w:p w:rsidR="00C9603E" w:rsidRPr="00F24CEC" w:rsidRDefault="00C9603E" w:rsidP="00C9603E">
      <w:pPr>
        <w:ind w:firstLine="567"/>
        <w:jc w:val="both"/>
      </w:pPr>
      <w:r w:rsidRPr="00F24CEC">
        <w:t>Data collection techniques: Data collection is carried out through the annual financial reports of Sharia Banks, and uses dependent and independent variables. In this research, the dependent variable is reputation, which is measured using the market share of Third Party Funds (DPK) managed by sharia banks. The use of TPF as a proxy for measuring reputation is due to the fact that DPK reflects the level of public trust in placing their funds among the various sharia banks available on the market. The formula for calculating market share is REP (market share) = Bank DPK / Total DPK in the market.</w:t>
      </w:r>
    </w:p>
    <w:p w:rsidR="00C9603E" w:rsidRPr="00F24CEC" w:rsidRDefault="00C9603E" w:rsidP="00C9603E">
      <w:pPr>
        <w:ind w:firstLine="567"/>
        <w:jc w:val="both"/>
      </w:pPr>
      <w:r w:rsidRPr="00F24CEC">
        <w:t xml:space="preserve">Meanwhile, the independent variable in this research is ICSR (Islamic Corporate Social Responsibility). ICSR is calculated by calculating the total number of disclosure items in the Islamic social disclosure report (ISR), which consists of 12 items. Each item disclosed by the company is given a value of 1, while those that are not disclosed are given a value of 0. Therefore, the formula for calculating the ICSR value is the total number of disclosure items disclosed in the ISR. Data analysis technique: The collected data was analyzed using simple linear regression analysis with the help of the SPSS (Statistical Package for the Social Sciences) program. This analysis was carried out to test the research hypothesis and calculate the </w:t>
      </w:r>
      <w:r w:rsidRPr="00F24CEC">
        <w:lastRenderedPageBreak/>
        <w:t>regression coefficient value, significance value and R-squared value. A simple linear regression model can be described as follows:</w:t>
      </w:r>
    </w:p>
    <w:p w:rsidR="00C9603E" w:rsidRPr="00F24CEC" w:rsidRDefault="00C9603E" w:rsidP="00C9603E">
      <w:pPr>
        <w:ind w:firstLine="557"/>
        <w:jc w:val="both"/>
        <w:rPr>
          <w:b/>
        </w:rPr>
      </w:pPr>
      <w:r w:rsidRPr="00F24CEC">
        <w:rPr>
          <w:b/>
        </w:rPr>
        <w:t>Company Reputation (Y1) = Constant (α1) + Regression Coefficient (β1) x ICSR (X1) + Error (℮).</w:t>
      </w:r>
    </w:p>
    <w:p w:rsidR="00C9603E" w:rsidRPr="00F24CEC" w:rsidRDefault="00C9603E" w:rsidP="00C9603E">
      <w:pPr>
        <w:ind w:firstLine="557"/>
        <w:jc w:val="both"/>
        <w:rPr>
          <w:b/>
        </w:rPr>
      </w:pPr>
      <w:r w:rsidRPr="00F24CEC">
        <w:t xml:space="preserve">In this model, Y1 represents company reputation, X1 represents ICSR, and α1 is a constant. The regression coefficient, β1, indicates how much of the change in corporate reputation can be explained by changes in ICSR. </w:t>
      </w:r>
      <w:proofErr w:type="gramStart"/>
      <w:r w:rsidRPr="00F24CEC">
        <w:t>The error, ℮, represents values ​​that cannot be explained by the regression model.</w:t>
      </w:r>
      <w:proofErr w:type="gramEnd"/>
    </w:p>
    <w:p w:rsidR="00C9603E" w:rsidRPr="00F24CEC" w:rsidRDefault="00C9603E" w:rsidP="00C9603E">
      <w:pPr>
        <w:ind w:firstLineChars="200" w:firstLine="480"/>
        <w:jc w:val="both"/>
        <w:rPr>
          <w:szCs w:val="24"/>
        </w:rPr>
      </w:pPr>
    </w:p>
    <w:p w:rsidR="00662EC3" w:rsidRPr="00F24CEC" w:rsidRDefault="00662EC3" w:rsidP="001456D2">
      <w:pPr>
        <w:pStyle w:val="Heading1"/>
        <w:numPr>
          <w:ilvl w:val="0"/>
          <w:numId w:val="1"/>
        </w:numPr>
        <w:suppressAutoHyphens/>
        <w:ind w:left="360"/>
        <w:rPr>
          <w:i w:val="0"/>
          <w:sz w:val="24"/>
          <w:szCs w:val="24"/>
        </w:rPr>
      </w:pPr>
      <w:r w:rsidRPr="00F24CEC">
        <w:rPr>
          <w:i w:val="0"/>
          <w:sz w:val="24"/>
          <w:szCs w:val="24"/>
          <w:lang w:val="id-ID"/>
        </w:rPr>
        <w:t>Results and</w:t>
      </w:r>
      <w:r w:rsidRPr="00F24CEC">
        <w:rPr>
          <w:i w:val="0"/>
          <w:sz w:val="24"/>
          <w:szCs w:val="24"/>
        </w:rPr>
        <w:t xml:space="preserve"> D</w:t>
      </w:r>
      <w:r w:rsidRPr="00F24CEC">
        <w:rPr>
          <w:i w:val="0"/>
          <w:sz w:val="24"/>
          <w:szCs w:val="24"/>
          <w:lang w:val="id-ID"/>
        </w:rPr>
        <w:t>iscussion</w:t>
      </w:r>
    </w:p>
    <w:p w:rsidR="00C9603E" w:rsidRPr="00F24CEC" w:rsidRDefault="00C9603E" w:rsidP="00C9603E">
      <w:pPr>
        <w:ind w:firstLine="557"/>
        <w:jc w:val="both"/>
      </w:pPr>
      <w:bookmarkStart w:id="1" w:name="_Hlk135986949"/>
      <w:r w:rsidRPr="00F24CEC">
        <w:t xml:space="preserve">In measuring the financial performance of the three Islamic commercial banks, namely Bank </w:t>
      </w:r>
      <w:proofErr w:type="spellStart"/>
      <w:r w:rsidRPr="00F24CEC">
        <w:t>Muamalat</w:t>
      </w:r>
      <w:proofErr w:type="spellEnd"/>
      <w:r w:rsidRPr="00F24CEC">
        <w:t xml:space="preserve"> Indonesia, Bank </w:t>
      </w:r>
      <w:proofErr w:type="spellStart"/>
      <w:r w:rsidRPr="00F24CEC">
        <w:t>Syariah</w:t>
      </w:r>
      <w:proofErr w:type="spellEnd"/>
      <w:r w:rsidRPr="00F24CEC">
        <w:t xml:space="preserve"> Indonesia, Bank BCA </w:t>
      </w:r>
      <w:proofErr w:type="spellStart"/>
      <w:r w:rsidRPr="00F24CEC">
        <w:t>Syariah</w:t>
      </w:r>
      <w:proofErr w:type="spellEnd"/>
      <w:r w:rsidRPr="00F24CEC">
        <w:t>, using the Islamic performance index method, the following results were found:</w:t>
      </w:r>
    </w:p>
    <w:p w:rsidR="00C9603E" w:rsidRPr="00F24CEC" w:rsidRDefault="00C9603E" w:rsidP="00C9603E">
      <w:pPr>
        <w:ind w:firstLine="557"/>
        <w:jc w:val="both"/>
      </w:pPr>
    </w:p>
    <w:p w:rsidR="00C9603E" w:rsidRPr="00F24CEC" w:rsidRDefault="00C9603E" w:rsidP="00C9603E">
      <w:pPr>
        <w:ind w:firstLine="557"/>
        <w:jc w:val="center"/>
        <w:rPr>
          <w:b/>
        </w:rPr>
      </w:pPr>
      <w:r w:rsidRPr="00F24CEC">
        <w:rPr>
          <w:b/>
        </w:rPr>
        <w:t>Table 1</w:t>
      </w:r>
    </w:p>
    <w:p w:rsidR="00C9603E" w:rsidRPr="00F24CEC" w:rsidRDefault="00C9603E" w:rsidP="00C9603E">
      <w:pPr>
        <w:ind w:firstLine="557"/>
        <w:jc w:val="center"/>
        <w:rPr>
          <w:b/>
        </w:rPr>
      </w:pPr>
      <w:r w:rsidRPr="00F24CEC">
        <w:rPr>
          <w:b/>
        </w:rPr>
        <w:t>Profit Sharing Ratio Results</w:t>
      </w:r>
    </w:p>
    <w:tbl>
      <w:tblPr>
        <w:tblStyle w:val="TableGrid"/>
        <w:tblW w:w="7230" w:type="dxa"/>
        <w:tblInd w:w="675" w:type="dxa"/>
        <w:tblLook w:val="04A0" w:firstRow="1" w:lastRow="0" w:firstColumn="1" w:lastColumn="0" w:noHBand="0" w:noVBand="1"/>
      </w:tblPr>
      <w:tblGrid>
        <w:gridCol w:w="1276"/>
        <w:gridCol w:w="2126"/>
        <w:gridCol w:w="1843"/>
        <w:gridCol w:w="1985"/>
      </w:tblGrid>
      <w:tr w:rsidR="00F24CEC" w:rsidRPr="00F24CEC" w:rsidTr="0096614F">
        <w:trPr>
          <w:trHeight w:val="203"/>
        </w:trPr>
        <w:tc>
          <w:tcPr>
            <w:tcW w:w="1276" w:type="dxa"/>
          </w:tcPr>
          <w:p w:rsidR="00C9603E" w:rsidRPr="00F24CEC" w:rsidRDefault="00C9603E" w:rsidP="0096614F">
            <w:pPr>
              <w:rPr>
                <w:sz w:val="20"/>
              </w:rPr>
            </w:pPr>
          </w:p>
        </w:tc>
        <w:tc>
          <w:tcPr>
            <w:tcW w:w="2126" w:type="dxa"/>
          </w:tcPr>
          <w:p w:rsidR="00C9603E" w:rsidRPr="00F24CEC" w:rsidRDefault="00C9603E" w:rsidP="0096614F">
            <w:pPr>
              <w:jc w:val="center"/>
              <w:rPr>
                <w:sz w:val="20"/>
              </w:rPr>
            </w:pPr>
            <w:r w:rsidRPr="00F24CEC">
              <w:rPr>
                <w:sz w:val="20"/>
              </w:rPr>
              <w:t xml:space="preserve">Bank </w:t>
            </w:r>
            <w:proofErr w:type="spellStart"/>
            <w:r w:rsidRPr="00F24CEC">
              <w:rPr>
                <w:sz w:val="20"/>
              </w:rPr>
              <w:t>Muamalat</w:t>
            </w:r>
            <w:proofErr w:type="spellEnd"/>
            <w:r w:rsidRPr="00F24CEC">
              <w:rPr>
                <w:sz w:val="20"/>
              </w:rPr>
              <w:t xml:space="preserve"> Indonesia</w:t>
            </w:r>
          </w:p>
        </w:tc>
        <w:tc>
          <w:tcPr>
            <w:tcW w:w="1843" w:type="dxa"/>
          </w:tcPr>
          <w:p w:rsidR="00C9603E" w:rsidRPr="00F24CEC" w:rsidRDefault="00C9603E" w:rsidP="0096614F">
            <w:pPr>
              <w:jc w:val="center"/>
              <w:rPr>
                <w:sz w:val="20"/>
              </w:rPr>
            </w:pPr>
            <w:r w:rsidRPr="00F24CEC">
              <w:rPr>
                <w:sz w:val="20"/>
              </w:rPr>
              <w:t>Indonesian Sharia Bank</w:t>
            </w:r>
          </w:p>
        </w:tc>
        <w:tc>
          <w:tcPr>
            <w:tcW w:w="1985" w:type="dxa"/>
          </w:tcPr>
          <w:p w:rsidR="00C9603E" w:rsidRPr="00F24CEC" w:rsidRDefault="00C9603E" w:rsidP="0096614F">
            <w:pPr>
              <w:jc w:val="center"/>
              <w:rPr>
                <w:sz w:val="20"/>
              </w:rPr>
            </w:pPr>
            <w:proofErr w:type="spellStart"/>
            <w:r w:rsidRPr="00F24CEC">
              <w:rPr>
                <w:sz w:val="20"/>
              </w:rPr>
              <w:t>Bca</w:t>
            </w:r>
            <w:proofErr w:type="spellEnd"/>
            <w:r w:rsidRPr="00F24CEC">
              <w:rPr>
                <w:sz w:val="20"/>
              </w:rPr>
              <w:t xml:space="preserve"> </w:t>
            </w:r>
            <w:proofErr w:type="spellStart"/>
            <w:r w:rsidRPr="00F24CEC">
              <w:rPr>
                <w:sz w:val="20"/>
              </w:rPr>
              <w:t>Syariah</w:t>
            </w:r>
            <w:proofErr w:type="spellEnd"/>
            <w:r w:rsidRPr="00F24CEC">
              <w:rPr>
                <w:sz w:val="20"/>
              </w:rPr>
              <w:t xml:space="preserve"> Bank</w:t>
            </w:r>
          </w:p>
        </w:tc>
      </w:tr>
      <w:tr w:rsidR="00F24CEC" w:rsidRPr="00F24CEC" w:rsidTr="0096614F">
        <w:trPr>
          <w:trHeight w:val="315"/>
        </w:trPr>
        <w:tc>
          <w:tcPr>
            <w:tcW w:w="1276" w:type="dxa"/>
          </w:tcPr>
          <w:p w:rsidR="00C9603E" w:rsidRPr="00F24CEC" w:rsidRDefault="00C9603E" w:rsidP="0096614F">
            <w:pPr>
              <w:jc w:val="center"/>
              <w:rPr>
                <w:sz w:val="20"/>
              </w:rPr>
            </w:pPr>
            <w:r w:rsidRPr="00F24CEC">
              <w:rPr>
                <w:sz w:val="20"/>
              </w:rPr>
              <w:t>2019</w:t>
            </w:r>
          </w:p>
        </w:tc>
        <w:tc>
          <w:tcPr>
            <w:tcW w:w="2126" w:type="dxa"/>
          </w:tcPr>
          <w:p w:rsidR="00C9603E" w:rsidRPr="00F24CEC" w:rsidRDefault="00C9603E" w:rsidP="0096614F">
            <w:pPr>
              <w:jc w:val="center"/>
              <w:rPr>
                <w:sz w:val="20"/>
              </w:rPr>
            </w:pPr>
            <w:r w:rsidRPr="00F24CEC">
              <w:rPr>
                <w:sz w:val="20"/>
              </w:rPr>
              <w:t>29.6%</w:t>
            </w:r>
          </w:p>
        </w:tc>
        <w:tc>
          <w:tcPr>
            <w:tcW w:w="1843" w:type="dxa"/>
          </w:tcPr>
          <w:p w:rsidR="00C9603E" w:rsidRPr="00F24CEC" w:rsidRDefault="00C9603E" w:rsidP="0096614F">
            <w:pPr>
              <w:jc w:val="center"/>
              <w:rPr>
                <w:sz w:val="20"/>
              </w:rPr>
            </w:pPr>
            <w:r w:rsidRPr="00F24CEC">
              <w:rPr>
                <w:sz w:val="20"/>
              </w:rPr>
              <w:t>26.4%</w:t>
            </w:r>
          </w:p>
        </w:tc>
        <w:tc>
          <w:tcPr>
            <w:tcW w:w="1985" w:type="dxa"/>
          </w:tcPr>
          <w:p w:rsidR="00C9603E" w:rsidRPr="00F24CEC" w:rsidRDefault="00C9603E" w:rsidP="0096614F">
            <w:pPr>
              <w:jc w:val="center"/>
              <w:rPr>
                <w:sz w:val="20"/>
              </w:rPr>
            </w:pPr>
            <w:r w:rsidRPr="00F24CEC">
              <w:rPr>
                <w:sz w:val="20"/>
              </w:rPr>
              <w:t>54.0%</w:t>
            </w:r>
          </w:p>
        </w:tc>
      </w:tr>
      <w:tr w:rsidR="00F24CEC" w:rsidRPr="00F24CEC" w:rsidTr="0096614F">
        <w:trPr>
          <w:trHeight w:val="298"/>
        </w:trPr>
        <w:tc>
          <w:tcPr>
            <w:tcW w:w="1276" w:type="dxa"/>
          </w:tcPr>
          <w:p w:rsidR="00C9603E" w:rsidRPr="00F24CEC" w:rsidRDefault="00C9603E" w:rsidP="0096614F">
            <w:pPr>
              <w:jc w:val="center"/>
              <w:rPr>
                <w:sz w:val="20"/>
              </w:rPr>
            </w:pPr>
            <w:r w:rsidRPr="00F24CEC">
              <w:rPr>
                <w:sz w:val="20"/>
              </w:rPr>
              <w:t>2020</w:t>
            </w:r>
          </w:p>
        </w:tc>
        <w:tc>
          <w:tcPr>
            <w:tcW w:w="2126" w:type="dxa"/>
          </w:tcPr>
          <w:p w:rsidR="00C9603E" w:rsidRPr="00F24CEC" w:rsidRDefault="00C9603E" w:rsidP="0096614F">
            <w:pPr>
              <w:jc w:val="center"/>
              <w:rPr>
                <w:sz w:val="20"/>
              </w:rPr>
            </w:pPr>
            <w:r w:rsidRPr="00F24CEC">
              <w:rPr>
                <w:sz w:val="20"/>
              </w:rPr>
              <w:t>29.8%</w:t>
            </w:r>
          </w:p>
        </w:tc>
        <w:tc>
          <w:tcPr>
            <w:tcW w:w="1843" w:type="dxa"/>
          </w:tcPr>
          <w:p w:rsidR="00C9603E" w:rsidRPr="00F24CEC" w:rsidRDefault="00C9603E" w:rsidP="0096614F">
            <w:pPr>
              <w:jc w:val="center"/>
              <w:rPr>
                <w:sz w:val="20"/>
              </w:rPr>
            </w:pPr>
            <w:r w:rsidRPr="00F24CEC">
              <w:rPr>
                <w:sz w:val="20"/>
              </w:rPr>
              <w:t>23.3%</w:t>
            </w:r>
          </w:p>
        </w:tc>
        <w:tc>
          <w:tcPr>
            <w:tcW w:w="1985" w:type="dxa"/>
          </w:tcPr>
          <w:p w:rsidR="00C9603E" w:rsidRPr="00F24CEC" w:rsidRDefault="00C9603E" w:rsidP="0096614F">
            <w:pPr>
              <w:jc w:val="center"/>
              <w:rPr>
                <w:sz w:val="20"/>
              </w:rPr>
            </w:pPr>
            <w:r w:rsidRPr="00F24CEC">
              <w:rPr>
                <w:sz w:val="20"/>
              </w:rPr>
              <w:t>66.0%</w:t>
            </w:r>
          </w:p>
        </w:tc>
      </w:tr>
      <w:tr w:rsidR="00F24CEC" w:rsidRPr="00F24CEC" w:rsidTr="0096614F">
        <w:trPr>
          <w:trHeight w:val="315"/>
        </w:trPr>
        <w:tc>
          <w:tcPr>
            <w:tcW w:w="1276" w:type="dxa"/>
          </w:tcPr>
          <w:p w:rsidR="00C9603E" w:rsidRPr="00F24CEC" w:rsidRDefault="00C9603E" w:rsidP="0096614F">
            <w:pPr>
              <w:jc w:val="center"/>
              <w:rPr>
                <w:sz w:val="20"/>
              </w:rPr>
            </w:pPr>
            <w:r w:rsidRPr="00F24CEC">
              <w:rPr>
                <w:sz w:val="20"/>
              </w:rPr>
              <w:t>2021</w:t>
            </w:r>
          </w:p>
        </w:tc>
        <w:tc>
          <w:tcPr>
            <w:tcW w:w="2126" w:type="dxa"/>
          </w:tcPr>
          <w:p w:rsidR="00C9603E" w:rsidRPr="00F24CEC" w:rsidRDefault="00C9603E" w:rsidP="0096614F">
            <w:pPr>
              <w:jc w:val="center"/>
              <w:rPr>
                <w:sz w:val="20"/>
              </w:rPr>
            </w:pPr>
            <w:r w:rsidRPr="00F24CEC">
              <w:rPr>
                <w:sz w:val="20"/>
              </w:rPr>
              <w:t>17.2%</w:t>
            </w:r>
          </w:p>
        </w:tc>
        <w:tc>
          <w:tcPr>
            <w:tcW w:w="1843" w:type="dxa"/>
          </w:tcPr>
          <w:p w:rsidR="00C9603E" w:rsidRPr="00F24CEC" w:rsidRDefault="00C9603E" w:rsidP="0096614F">
            <w:pPr>
              <w:jc w:val="center"/>
              <w:rPr>
                <w:sz w:val="20"/>
              </w:rPr>
            </w:pPr>
            <w:r w:rsidRPr="00F24CEC">
              <w:rPr>
                <w:sz w:val="20"/>
              </w:rPr>
              <w:t>20.3%</w:t>
            </w:r>
          </w:p>
        </w:tc>
        <w:tc>
          <w:tcPr>
            <w:tcW w:w="1985" w:type="dxa"/>
          </w:tcPr>
          <w:p w:rsidR="00C9603E" w:rsidRPr="00F24CEC" w:rsidRDefault="00C9603E" w:rsidP="0096614F">
            <w:pPr>
              <w:jc w:val="center"/>
              <w:rPr>
                <w:sz w:val="20"/>
              </w:rPr>
            </w:pPr>
            <w:r w:rsidRPr="00F24CEC">
              <w:rPr>
                <w:sz w:val="20"/>
              </w:rPr>
              <w:t>78.0%</w:t>
            </w:r>
          </w:p>
        </w:tc>
      </w:tr>
      <w:tr w:rsidR="00F24CEC" w:rsidRPr="00F24CEC" w:rsidTr="0096614F">
        <w:trPr>
          <w:trHeight w:val="315"/>
        </w:trPr>
        <w:tc>
          <w:tcPr>
            <w:tcW w:w="1276" w:type="dxa"/>
          </w:tcPr>
          <w:p w:rsidR="00C9603E" w:rsidRPr="00F24CEC" w:rsidRDefault="00C9603E" w:rsidP="0096614F">
            <w:pPr>
              <w:jc w:val="center"/>
              <w:rPr>
                <w:sz w:val="20"/>
              </w:rPr>
            </w:pPr>
            <w:r w:rsidRPr="00F24CEC">
              <w:rPr>
                <w:sz w:val="20"/>
              </w:rPr>
              <w:t>2022</w:t>
            </w:r>
          </w:p>
        </w:tc>
        <w:tc>
          <w:tcPr>
            <w:tcW w:w="2126" w:type="dxa"/>
          </w:tcPr>
          <w:p w:rsidR="00C9603E" w:rsidRPr="00F24CEC" w:rsidRDefault="00C9603E" w:rsidP="0096614F">
            <w:pPr>
              <w:jc w:val="center"/>
              <w:rPr>
                <w:sz w:val="20"/>
              </w:rPr>
            </w:pPr>
            <w:r w:rsidRPr="00F24CEC">
              <w:rPr>
                <w:sz w:val="20"/>
              </w:rPr>
              <w:t>17.6%</w:t>
            </w:r>
          </w:p>
        </w:tc>
        <w:tc>
          <w:tcPr>
            <w:tcW w:w="1843" w:type="dxa"/>
          </w:tcPr>
          <w:p w:rsidR="00C9603E" w:rsidRPr="00F24CEC" w:rsidRDefault="00C9603E" w:rsidP="0096614F">
            <w:pPr>
              <w:jc w:val="center"/>
              <w:rPr>
                <w:sz w:val="20"/>
              </w:rPr>
            </w:pPr>
            <w:r w:rsidRPr="00F24CEC">
              <w:rPr>
                <w:sz w:val="20"/>
              </w:rPr>
              <w:t>16.2%</w:t>
            </w:r>
          </w:p>
        </w:tc>
        <w:tc>
          <w:tcPr>
            <w:tcW w:w="1985" w:type="dxa"/>
          </w:tcPr>
          <w:p w:rsidR="00C9603E" w:rsidRPr="00F24CEC" w:rsidRDefault="00C9603E" w:rsidP="0096614F">
            <w:pPr>
              <w:jc w:val="center"/>
              <w:rPr>
                <w:sz w:val="20"/>
              </w:rPr>
            </w:pPr>
            <w:r w:rsidRPr="00F24CEC">
              <w:rPr>
                <w:sz w:val="20"/>
              </w:rPr>
              <w:t>85.1%</w:t>
            </w:r>
          </w:p>
        </w:tc>
      </w:tr>
      <w:tr w:rsidR="00F24CEC" w:rsidRPr="00F24CEC" w:rsidTr="0096614F">
        <w:trPr>
          <w:trHeight w:val="329"/>
        </w:trPr>
        <w:tc>
          <w:tcPr>
            <w:tcW w:w="1276" w:type="dxa"/>
          </w:tcPr>
          <w:p w:rsidR="00C9603E" w:rsidRPr="00F24CEC" w:rsidRDefault="00C9603E" w:rsidP="0096614F">
            <w:pPr>
              <w:jc w:val="center"/>
              <w:rPr>
                <w:sz w:val="20"/>
              </w:rPr>
            </w:pPr>
            <w:r w:rsidRPr="00F24CEC">
              <w:rPr>
                <w:sz w:val="20"/>
              </w:rPr>
              <w:t>Average</w:t>
            </w:r>
          </w:p>
        </w:tc>
        <w:tc>
          <w:tcPr>
            <w:tcW w:w="2126" w:type="dxa"/>
          </w:tcPr>
          <w:p w:rsidR="00C9603E" w:rsidRPr="00F24CEC" w:rsidRDefault="00C9603E" w:rsidP="0096614F">
            <w:pPr>
              <w:jc w:val="center"/>
              <w:rPr>
                <w:sz w:val="20"/>
              </w:rPr>
            </w:pPr>
            <w:r w:rsidRPr="00F24CEC">
              <w:rPr>
                <w:sz w:val="20"/>
              </w:rPr>
              <w:t>23.3%</w:t>
            </w:r>
          </w:p>
        </w:tc>
        <w:tc>
          <w:tcPr>
            <w:tcW w:w="1843" w:type="dxa"/>
          </w:tcPr>
          <w:p w:rsidR="00C9603E" w:rsidRPr="00F24CEC" w:rsidRDefault="00C9603E" w:rsidP="0096614F">
            <w:pPr>
              <w:jc w:val="center"/>
              <w:rPr>
                <w:sz w:val="20"/>
              </w:rPr>
            </w:pPr>
            <w:r w:rsidRPr="00F24CEC">
              <w:rPr>
                <w:sz w:val="20"/>
              </w:rPr>
              <w:t>21.5%</w:t>
            </w:r>
          </w:p>
        </w:tc>
        <w:tc>
          <w:tcPr>
            <w:tcW w:w="1985" w:type="dxa"/>
          </w:tcPr>
          <w:p w:rsidR="00C9603E" w:rsidRPr="00F24CEC" w:rsidRDefault="00C9603E" w:rsidP="0096614F">
            <w:pPr>
              <w:jc w:val="center"/>
              <w:rPr>
                <w:sz w:val="20"/>
              </w:rPr>
            </w:pPr>
            <w:r w:rsidRPr="00F24CEC">
              <w:rPr>
                <w:sz w:val="20"/>
              </w:rPr>
              <w:t>70.0%</w:t>
            </w:r>
          </w:p>
        </w:tc>
      </w:tr>
    </w:tbl>
    <w:p w:rsidR="00C9603E" w:rsidRPr="00F24CEC" w:rsidRDefault="00C9603E" w:rsidP="00C9603E">
      <w:pPr>
        <w:ind w:firstLine="557"/>
        <w:jc w:val="both"/>
      </w:pPr>
      <w:r w:rsidRPr="00F24CEC">
        <w:t>The table above shows the profit sharing ratio of the same three Islamic commercial banks. The profit sharing ratio is measured in percentages and each row in the table represents a particular year, while each column represents the profit sharing ratio for each bank in that year. At the end of each column, there is the average profit sharing ratio for those banks.</w:t>
      </w:r>
    </w:p>
    <w:p w:rsidR="00C9603E" w:rsidRPr="00F24CEC" w:rsidRDefault="00C9603E" w:rsidP="00C9603E">
      <w:pPr>
        <w:ind w:firstLine="557"/>
        <w:jc w:val="center"/>
        <w:rPr>
          <w:b/>
        </w:rPr>
      </w:pPr>
      <w:r w:rsidRPr="00F24CEC">
        <w:rPr>
          <w:b/>
        </w:rPr>
        <w:t>Table 2</w:t>
      </w:r>
    </w:p>
    <w:p w:rsidR="00C9603E" w:rsidRPr="00F24CEC" w:rsidRDefault="00C9603E" w:rsidP="00C9603E">
      <w:pPr>
        <w:ind w:firstLine="557"/>
        <w:jc w:val="center"/>
        <w:rPr>
          <w:b/>
        </w:rPr>
      </w:pPr>
      <w:r w:rsidRPr="00F24CEC">
        <w:rPr>
          <w:b/>
        </w:rPr>
        <w:t>Zakat Performance Ratio</w:t>
      </w:r>
    </w:p>
    <w:tbl>
      <w:tblPr>
        <w:tblStyle w:val="TableGrid"/>
        <w:tblW w:w="7230" w:type="dxa"/>
        <w:tblInd w:w="675" w:type="dxa"/>
        <w:tblLook w:val="04A0" w:firstRow="1" w:lastRow="0" w:firstColumn="1" w:lastColumn="0" w:noHBand="0" w:noVBand="1"/>
      </w:tblPr>
      <w:tblGrid>
        <w:gridCol w:w="1605"/>
        <w:gridCol w:w="1797"/>
        <w:gridCol w:w="1843"/>
        <w:gridCol w:w="1985"/>
      </w:tblGrid>
      <w:tr w:rsidR="00F24CEC" w:rsidRPr="00F24CEC" w:rsidTr="0096614F">
        <w:trPr>
          <w:trHeight w:val="475"/>
        </w:trPr>
        <w:tc>
          <w:tcPr>
            <w:tcW w:w="1605" w:type="dxa"/>
          </w:tcPr>
          <w:p w:rsidR="00C9603E" w:rsidRPr="00F24CEC" w:rsidRDefault="00C9603E" w:rsidP="0096614F">
            <w:pPr>
              <w:rPr>
                <w:sz w:val="20"/>
              </w:rPr>
            </w:pPr>
          </w:p>
        </w:tc>
        <w:tc>
          <w:tcPr>
            <w:tcW w:w="1797" w:type="dxa"/>
          </w:tcPr>
          <w:p w:rsidR="00C9603E" w:rsidRPr="00F24CEC" w:rsidRDefault="00C9603E" w:rsidP="0096614F">
            <w:pPr>
              <w:jc w:val="center"/>
              <w:rPr>
                <w:sz w:val="20"/>
              </w:rPr>
            </w:pPr>
            <w:r w:rsidRPr="00F24CEC">
              <w:rPr>
                <w:sz w:val="20"/>
              </w:rPr>
              <w:t xml:space="preserve">Bank </w:t>
            </w:r>
            <w:proofErr w:type="spellStart"/>
            <w:r w:rsidRPr="00F24CEC">
              <w:rPr>
                <w:sz w:val="20"/>
              </w:rPr>
              <w:t>Muamalat</w:t>
            </w:r>
            <w:proofErr w:type="spellEnd"/>
            <w:r w:rsidRPr="00F24CEC">
              <w:rPr>
                <w:sz w:val="20"/>
              </w:rPr>
              <w:t xml:space="preserve"> Indonesia</w:t>
            </w:r>
          </w:p>
        </w:tc>
        <w:tc>
          <w:tcPr>
            <w:tcW w:w="1843" w:type="dxa"/>
          </w:tcPr>
          <w:p w:rsidR="00C9603E" w:rsidRPr="00F24CEC" w:rsidRDefault="00C9603E" w:rsidP="0096614F">
            <w:pPr>
              <w:jc w:val="center"/>
              <w:rPr>
                <w:sz w:val="20"/>
              </w:rPr>
            </w:pPr>
            <w:r w:rsidRPr="00F24CEC">
              <w:rPr>
                <w:sz w:val="20"/>
              </w:rPr>
              <w:t>Indonesian Sharia Bank</w:t>
            </w:r>
          </w:p>
        </w:tc>
        <w:tc>
          <w:tcPr>
            <w:tcW w:w="1985" w:type="dxa"/>
          </w:tcPr>
          <w:p w:rsidR="00C9603E" w:rsidRPr="00F24CEC" w:rsidRDefault="00C9603E" w:rsidP="0096614F">
            <w:pPr>
              <w:jc w:val="center"/>
              <w:rPr>
                <w:sz w:val="20"/>
              </w:rPr>
            </w:pPr>
            <w:proofErr w:type="spellStart"/>
            <w:r w:rsidRPr="00F24CEC">
              <w:rPr>
                <w:sz w:val="20"/>
              </w:rPr>
              <w:t>Bca</w:t>
            </w:r>
            <w:proofErr w:type="spellEnd"/>
            <w:r w:rsidRPr="00F24CEC">
              <w:rPr>
                <w:sz w:val="20"/>
              </w:rPr>
              <w:t xml:space="preserve"> </w:t>
            </w:r>
            <w:proofErr w:type="spellStart"/>
            <w:r w:rsidRPr="00F24CEC">
              <w:rPr>
                <w:sz w:val="20"/>
              </w:rPr>
              <w:t>Syariah</w:t>
            </w:r>
            <w:proofErr w:type="spellEnd"/>
            <w:r w:rsidRPr="00F24CEC">
              <w:rPr>
                <w:sz w:val="20"/>
              </w:rPr>
              <w:t xml:space="preserve"> Bank</w:t>
            </w:r>
          </w:p>
        </w:tc>
      </w:tr>
      <w:tr w:rsidR="00F24CEC" w:rsidRPr="00F24CEC" w:rsidTr="0096614F">
        <w:trPr>
          <w:trHeight w:val="315"/>
        </w:trPr>
        <w:tc>
          <w:tcPr>
            <w:tcW w:w="1605" w:type="dxa"/>
          </w:tcPr>
          <w:p w:rsidR="00C9603E" w:rsidRPr="00F24CEC" w:rsidRDefault="00C9603E" w:rsidP="0096614F">
            <w:pPr>
              <w:jc w:val="center"/>
              <w:rPr>
                <w:sz w:val="20"/>
              </w:rPr>
            </w:pPr>
            <w:r w:rsidRPr="00F24CEC">
              <w:rPr>
                <w:sz w:val="20"/>
              </w:rPr>
              <w:t>2019</w:t>
            </w:r>
          </w:p>
        </w:tc>
        <w:tc>
          <w:tcPr>
            <w:tcW w:w="1797" w:type="dxa"/>
          </w:tcPr>
          <w:p w:rsidR="00C9603E" w:rsidRPr="00F24CEC" w:rsidRDefault="00C9603E" w:rsidP="0096614F">
            <w:pPr>
              <w:jc w:val="center"/>
              <w:rPr>
                <w:sz w:val="20"/>
              </w:rPr>
            </w:pPr>
            <w:r w:rsidRPr="00F24CEC">
              <w:rPr>
                <w:sz w:val="20"/>
              </w:rPr>
              <w:t>0.046%</w:t>
            </w:r>
          </w:p>
        </w:tc>
        <w:tc>
          <w:tcPr>
            <w:tcW w:w="1843" w:type="dxa"/>
          </w:tcPr>
          <w:p w:rsidR="00C9603E" w:rsidRPr="00F24CEC" w:rsidRDefault="00C9603E" w:rsidP="0096614F">
            <w:pPr>
              <w:jc w:val="center"/>
              <w:rPr>
                <w:sz w:val="20"/>
              </w:rPr>
            </w:pPr>
            <w:r w:rsidRPr="00F24CEC">
              <w:rPr>
                <w:sz w:val="20"/>
              </w:rPr>
              <w:t>0.016%</w:t>
            </w:r>
          </w:p>
        </w:tc>
        <w:tc>
          <w:tcPr>
            <w:tcW w:w="1985" w:type="dxa"/>
          </w:tcPr>
          <w:p w:rsidR="00C9603E" w:rsidRPr="00F24CEC" w:rsidRDefault="00C9603E" w:rsidP="0096614F">
            <w:pPr>
              <w:jc w:val="center"/>
              <w:rPr>
                <w:sz w:val="20"/>
              </w:rPr>
            </w:pPr>
            <w:r w:rsidRPr="00F24CEC">
              <w:rPr>
                <w:sz w:val="20"/>
              </w:rPr>
              <w:t>0.012%</w:t>
            </w:r>
          </w:p>
        </w:tc>
      </w:tr>
      <w:tr w:rsidR="00F24CEC" w:rsidRPr="00F24CEC" w:rsidTr="0096614F">
        <w:trPr>
          <w:trHeight w:val="298"/>
        </w:trPr>
        <w:tc>
          <w:tcPr>
            <w:tcW w:w="1605" w:type="dxa"/>
          </w:tcPr>
          <w:p w:rsidR="00C9603E" w:rsidRPr="00F24CEC" w:rsidRDefault="00C9603E" w:rsidP="0096614F">
            <w:pPr>
              <w:jc w:val="center"/>
              <w:rPr>
                <w:sz w:val="20"/>
              </w:rPr>
            </w:pPr>
            <w:r w:rsidRPr="00F24CEC">
              <w:rPr>
                <w:sz w:val="20"/>
              </w:rPr>
              <w:t>2020</w:t>
            </w:r>
          </w:p>
        </w:tc>
        <w:tc>
          <w:tcPr>
            <w:tcW w:w="1797" w:type="dxa"/>
          </w:tcPr>
          <w:p w:rsidR="00C9603E" w:rsidRPr="00F24CEC" w:rsidRDefault="00C9603E" w:rsidP="0096614F">
            <w:pPr>
              <w:jc w:val="center"/>
              <w:rPr>
                <w:sz w:val="20"/>
              </w:rPr>
            </w:pPr>
            <w:r w:rsidRPr="00F24CEC">
              <w:rPr>
                <w:sz w:val="20"/>
              </w:rPr>
              <w:t>0.049%</w:t>
            </w:r>
          </w:p>
        </w:tc>
        <w:tc>
          <w:tcPr>
            <w:tcW w:w="1843" w:type="dxa"/>
          </w:tcPr>
          <w:p w:rsidR="00C9603E" w:rsidRPr="00F24CEC" w:rsidRDefault="00C9603E" w:rsidP="0096614F">
            <w:pPr>
              <w:jc w:val="center"/>
              <w:rPr>
                <w:sz w:val="20"/>
              </w:rPr>
            </w:pPr>
            <w:r w:rsidRPr="00F24CEC">
              <w:rPr>
                <w:sz w:val="20"/>
              </w:rPr>
              <w:t>0.030%</w:t>
            </w:r>
          </w:p>
        </w:tc>
        <w:tc>
          <w:tcPr>
            <w:tcW w:w="1985" w:type="dxa"/>
          </w:tcPr>
          <w:p w:rsidR="00C9603E" w:rsidRPr="00F24CEC" w:rsidRDefault="00C9603E" w:rsidP="0096614F">
            <w:pPr>
              <w:jc w:val="center"/>
              <w:rPr>
                <w:sz w:val="20"/>
              </w:rPr>
            </w:pPr>
            <w:r w:rsidRPr="00F24CEC">
              <w:rPr>
                <w:sz w:val="20"/>
              </w:rPr>
              <w:t>0.013%</w:t>
            </w:r>
          </w:p>
        </w:tc>
      </w:tr>
      <w:tr w:rsidR="00F24CEC" w:rsidRPr="00F24CEC" w:rsidTr="0096614F">
        <w:trPr>
          <w:trHeight w:val="315"/>
        </w:trPr>
        <w:tc>
          <w:tcPr>
            <w:tcW w:w="1605" w:type="dxa"/>
          </w:tcPr>
          <w:p w:rsidR="00C9603E" w:rsidRPr="00F24CEC" w:rsidRDefault="00C9603E" w:rsidP="0096614F">
            <w:pPr>
              <w:jc w:val="center"/>
              <w:rPr>
                <w:sz w:val="20"/>
              </w:rPr>
            </w:pPr>
            <w:r w:rsidRPr="00F24CEC">
              <w:rPr>
                <w:sz w:val="20"/>
              </w:rPr>
              <w:t>2021</w:t>
            </w:r>
          </w:p>
        </w:tc>
        <w:tc>
          <w:tcPr>
            <w:tcW w:w="1797" w:type="dxa"/>
          </w:tcPr>
          <w:p w:rsidR="00C9603E" w:rsidRPr="00F24CEC" w:rsidRDefault="00C9603E" w:rsidP="0096614F">
            <w:pPr>
              <w:jc w:val="center"/>
              <w:rPr>
                <w:sz w:val="20"/>
              </w:rPr>
            </w:pPr>
            <w:r w:rsidRPr="00F24CEC">
              <w:rPr>
                <w:sz w:val="20"/>
              </w:rPr>
              <w:t>0.071%</w:t>
            </w:r>
          </w:p>
        </w:tc>
        <w:tc>
          <w:tcPr>
            <w:tcW w:w="1843" w:type="dxa"/>
          </w:tcPr>
          <w:p w:rsidR="00C9603E" w:rsidRPr="00F24CEC" w:rsidRDefault="00C9603E" w:rsidP="0096614F">
            <w:pPr>
              <w:jc w:val="center"/>
              <w:rPr>
                <w:sz w:val="20"/>
              </w:rPr>
            </w:pPr>
            <w:r w:rsidRPr="00F24CEC">
              <w:rPr>
                <w:sz w:val="20"/>
              </w:rPr>
              <w:t>0.038%</w:t>
            </w:r>
          </w:p>
        </w:tc>
        <w:tc>
          <w:tcPr>
            <w:tcW w:w="1985" w:type="dxa"/>
          </w:tcPr>
          <w:p w:rsidR="00C9603E" w:rsidRPr="00F24CEC" w:rsidRDefault="00C9603E" w:rsidP="0096614F">
            <w:pPr>
              <w:jc w:val="center"/>
              <w:rPr>
                <w:sz w:val="20"/>
              </w:rPr>
            </w:pPr>
            <w:r w:rsidRPr="00F24CEC">
              <w:rPr>
                <w:sz w:val="20"/>
              </w:rPr>
              <w:t>0.012%</w:t>
            </w:r>
          </w:p>
        </w:tc>
      </w:tr>
      <w:tr w:rsidR="00F24CEC" w:rsidRPr="00F24CEC" w:rsidTr="0096614F">
        <w:trPr>
          <w:trHeight w:val="315"/>
        </w:trPr>
        <w:tc>
          <w:tcPr>
            <w:tcW w:w="1605" w:type="dxa"/>
          </w:tcPr>
          <w:p w:rsidR="00C9603E" w:rsidRPr="00F24CEC" w:rsidRDefault="00C9603E" w:rsidP="0096614F">
            <w:pPr>
              <w:jc w:val="center"/>
              <w:rPr>
                <w:sz w:val="20"/>
              </w:rPr>
            </w:pPr>
            <w:r w:rsidRPr="00F24CEC">
              <w:rPr>
                <w:sz w:val="20"/>
              </w:rPr>
              <w:t>2022</w:t>
            </w:r>
          </w:p>
        </w:tc>
        <w:tc>
          <w:tcPr>
            <w:tcW w:w="1797" w:type="dxa"/>
          </w:tcPr>
          <w:p w:rsidR="00C9603E" w:rsidRPr="00F24CEC" w:rsidRDefault="00C9603E" w:rsidP="0096614F">
            <w:pPr>
              <w:jc w:val="center"/>
              <w:rPr>
                <w:sz w:val="20"/>
              </w:rPr>
            </w:pPr>
            <w:r w:rsidRPr="00F24CEC">
              <w:rPr>
                <w:sz w:val="20"/>
              </w:rPr>
              <w:t>0.083%</w:t>
            </w:r>
          </w:p>
        </w:tc>
        <w:tc>
          <w:tcPr>
            <w:tcW w:w="1843" w:type="dxa"/>
          </w:tcPr>
          <w:p w:rsidR="00C9603E" w:rsidRPr="00F24CEC" w:rsidRDefault="00C9603E" w:rsidP="0096614F">
            <w:pPr>
              <w:jc w:val="center"/>
              <w:rPr>
                <w:sz w:val="20"/>
              </w:rPr>
            </w:pPr>
            <w:r w:rsidRPr="00F24CEC">
              <w:rPr>
                <w:sz w:val="20"/>
              </w:rPr>
              <w:t>0.046%</w:t>
            </w:r>
          </w:p>
        </w:tc>
        <w:tc>
          <w:tcPr>
            <w:tcW w:w="1985" w:type="dxa"/>
          </w:tcPr>
          <w:p w:rsidR="00C9603E" w:rsidRPr="00F24CEC" w:rsidRDefault="00C9603E" w:rsidP="0096614F">
            <w:pPr>
              <w:jc w:val="center"/>
              <w:rPr>
                <w:sz w:val="20"/>
              </w:rPr>
            </w:pPr>
            <w:r w:rsidRPr="00F24CEC">
              <w:rPr>
                <w:sz w:val="20"/>
              </w:rPr>
              <w:t>0.018%</w:t>
            </w:r>
          </w:p>
        </w:tc>
      </w:tr>
      <w:tr w:rsidR="00F24CEC" w:rsidRPr="00F24CEC" w:rsidTr="0096614F">
        <w:trPr>
          <w:trHeight w:val="329"/>
        </w:trPr>
        <w:tc>
          <w:tcPr>
            <w:tcW w:w="1605" w:type="dxa"/>
          </w:tcPr>
          <w:p w:rsidR="00C9603E" w:rsidRPr="00F24CEC" w:rsidRDefault="00C9603E" w:rsidP="0096614F">
            <w:pPr>
              <w:jc w:val="center"/>
              <w:rPr>
                <w:sz w:val="20"/>
              </w:rPr>
            </w:pPr>
            <w:r w:rsidRPr="00F24CEC">
              <w:rPr>
                <w:sz w:val="20"/>
              </w:rPr>
              <w:t>Average</w:t>
            </w:r>
          </w:p>
        </w:tc>
        <w:tc>
          <w:tcPr>
            <w:tcW w:w="1797" w:type="dxa"/>
          </w:tcPr>
          <w:p w:rsidR="00C9603E" w:rsidRPr="00F24CEC" w:rsidRDefault="00C9603E" w:rsidP="0096614F">
            <w:pPr>
              <w:jc w:val="center"/>
              <w:rPr>
                <w:sz w:val="20"/>
              </w:rPr>
            </w:pPr>
            <w:r w:rsidRPr="00F24CEC">
              <w:rPr>
                <w:sz w:val="20"/>
              </w:rPr>
              <w:t>23.55%</w:t>
            </w:r>
          </w:p>
        </w:tc>
        <w:tc>
          <w:tcPr>
            <w:tcW w:w="1843" w:type="dxa"/>
          </w:tcPr>
          <w:p w:rsidR="00C9603E" w:rsidRPr="00F24CEC" w:rsidRDefault="00C9603E" w:rsidP="0096614F">
            <w:pPr>
              <w:jc w:val="center"/>
              <w:rPr>
                <w:sz w:val="20"/>
              </w:rPr>
            </w:pPr>
            <w:r w:rsidRPr="00F24CEC">
              <w:rPr>
                <w:sz w:val="20"/>
              </w:rPr>
              <w:t>21.5%</w:t>
            </w:r>
          </w:p>
        </w:tc>
        <w:tc>
          <w:tcPr>
            <w:tcW w:w="1985" w:type="dxa"/>
          </w:tcPr>
          <w:p w:rsidR="00C9603E" w:rsidRPr="00F24CEC" w:rsidRDefault="00C9603E" w:rsidP="0096614F">
            <w:pPr>
              <w:jc w:val="center"/>
              <w:rPr>
                <w:sz w:val="20"/>
              </w:rPr>
            </w:pPr>
            <w:r w:rsidRPr="00F24CEC">
              <w:rPr>
                <w:sz w:val="20"/>
              </w:rPr>
              <w:t>70.77%</w:t>
            </w:r>
          </w:p>
        </w:tc>
      </w:tr>
    </w:tbl>
    <w:p w:rsidR="00C9603E" w:rsidRPr="00F24CEC" w:rsidRDefault="00C9603E" w:rsidP="00C9603E">
      <w:pPr>
        <w:ind w:firstLine="557"/>
        <w:jc w:val="both"/>
      </w:pPr>
      <w:r w:rsidRPr="00F24CEC">
        <w:t xml:space="preserve">The table above shows the zakat performance ratio of three sharia commercial banks, namely Bank </w:t>
      </w:r>
      <w:proofErr w:type="spellStart"/>
      <w:r w:rsidRPr="00F24CEC">
        <w:t>Muamalat</w:t>
      </w:r>
      <w:proofErr w:type="spellEnd"/>
      <w:r w:rsidRPr="00F24CEC">
        <w:t xml:space="preserve"> Indonesia, Bank </w:t>
      </w:r>
      <w:proofErr w:type="spellStart"/>
      <w:r w:rsidRPr="00F24CEC">
        <w:t>Syariah</w:t>
      </w:r>
      <w:proofErr w:type="spellEnd"/>
      <w:r w:rsidRPr="00F24CEC">
        <w:t xml:space="preserve"> Indonesia, and Bank BCA </w:t>
      </w:r>
      <w:proofErr w:type="spellStart"/>
      <w:r w:rsidRPr="00F24CEC">
        <w:t>Syariah</w:t>
      </w:r>
      <w:proofErr w:type="spellEnd"/>
      <w:r w:rsidRPr="00F24CEC">
        <w:t>. The zakat performance ratio is measured in percentages and each row in the table represents a particular year, while each column represents the zakat performance ratio for each bank in that year. At the end of each column, there is an average zakat performance ratio for these banks.</w:t>
      </w:r>
    </w:p>
    <w:p w:rsidR="00C9603E" w:rsidRPr="00F24CEC" w:rsidRDefault="00C9603E" w:rsidP="00C9603E">
      <w:pPr>
        <w:ind w:firstLine="557"/>
        <w:jc w:val="both"/>
      </w:pPr>
      <w:r w:rsidRPr="00F24CEC">
        <w:t>The following is a table of normality test results using One-Sample Kolmogorov Smirnov on the company reputation variable:</w:t>
      </w:r>
      <w:bookmarkEnd w:id="1"/>
    </w:p>
    <w:tbl>
      <w:tblPr>
        <w:tblW w:w="53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6"/>
        <w:gridCol w:w="1447"/>
        <w:gridCol w:w="1477"/>
      </w:tblGrid>
      <w:tr w:rsidR="00F24CEC" w:rsidRPr="00F24CEC" w:rsidTr="0096614F">
        <w:trPr>
          <w:cantSplit/>
          <w:jc w:val="center"/>
        </w:trPr>
        <w:tc>
          <w:tcPr>
            <w:tcW w:w="5364" w:type="dxa"/>
            <w:gridSpan w:val="3"/>
            <w:tcBorders>
              <w:top w:val="nil"/>
              <w:left w:val="nil"/>
              <w:bottom w:val="nil"/>
              <w:right w:val="nil"/>
            </w:tcBorders>
            <w:shd w:val="clear" w:color="auto" w:fill="FFFFFF"/>
            <w:vAlign w:val="center"/>
            <w:hideMark/>
          </w:tcPr>
          <w:p w:rsidR="00C9603E" w:rsidRPr="00F24CEC" w:rsidRDefault="00C9603E" w:rsidP="0096614F">
            <w:pPr>
              <w:autoSpaceDE w:val="0"/>
              <w:autoSpaceDN w:val="0"/>
              <w:adjustRightInd w:val="0"/>
              <w:ind w:left="60" w:right="60"/>
              <w:jc w:val="center"/>
              <w:rPr>
                <w:sz w:val="20"/>
                <w:lang w:val="en-ID"/>
              </w:rPr>
            </w:pPr>
            <w:r w:rsidRPr="00F24CEC">
              <w:rPr>
                <w:b/>
                <w:bCs/>
                <w:sz w:val="20"/>
              </w:rPr>
              <w:lastRenderedPageBreak/>
              <w:t>One-Sample Kolmogorov-Smirnov</w:t>
            </w:r>
          </w:p>
        </w:tc>
      </w:tr>
      <w:tr w:rsidR="00F24CEC" w:rsidRPr="00F24CEC" w:rsidTr="0096614F">
        <w:trPr>
          <w:cantSplit/>
          <w:jc w:val="center"/>
        </w:trPr>
        <w:tc>
          <w:tcPr>
            <w:tcW w:w="3889" w:type="dxa"/>
            <w:gridSpan w:val="2"/>
            <w:tcBorders>
              <w:top w:val="nil"/>
              <w:left w:val="nil"/>
              <w:bottom w:val="single" w:sz="8" w:space="0" w:color="152935"/>
              <w:right w:val="nil"/>
            </w:tcBorders>
            <w:shd w:val="clear" w:color="auto" w:fill="FFFFFF"/>
            <w:vAlign w:val="bottom"/>
          </w:tcPr>
          <w:p w:rsidR="00C9603E" w:rsidRPr="00F24CEC" w:rsidRDefault="00C9603E" w:rsidP="0096614F">
            <w:pPr>
              <w:autoSpaceDE w:val="0"/>
              <w:autoSpaceDN w:val="0"/>
              <w:adjustRightInd w:val="0"/>
              <w:rPr>
                <w:sz w:val="20"/>
              </w:rPr>
            </w:pPr>
          </w:p>
        </w:tc>
        <w:tc>
          <w:tcPr>
            <w:tcW w:w="1475" w:type="dxa"/>
            <w:tcBorders>
              <w:top w:val="nil"/>
              <w:left w:val="nil"/>
              <w:bottom w:val="single" w:sz="8" w:space="0" w:color="152935"/>
              <w:right w:val="nil"/>
            </w:tcBorders>
            <w:shd w:val="clear" w:color="auto" w:fill="FFFFFF"/>
            <w:vAlign w:val="bottom"/>
            <w:hideMark/>
          </w:tcPr>
          <w:p w:rsidR="00C9603E" w:rsidRPr="00F24CEC" w:rsidRDefault="00C9603E" w:rsidP="0096614F">
            <w:pPr>
              <w:autoSpaceDE w:val="0"/>
              <w:autoSpaceDN w:val="0"/>
              <w:adjustRightInd w:val="0"/>
              <w:ind w:left="60" w:right="60"/>
              <w:jc w:val="center"/>
              <w:rPr>
                <w:sz w:val="20"/>
              </w:rPr>
            </w:pPr>
            <w:r w:rsidRPr="00F24CEC">
              <w:rPr>
                <w:sz w:val="20"/>
              </w:rPr>
              <w:t>Unstandardized Residuals</w:t>
            </w:r>
          </w:p>
        </w:tc>
      </w:tr>
      <w:tr w:rsidR="00F24CEC" w:rsidRPr="00F24CEC" w:rsidTr="0096614F">
        <w:trPr>
          <w:cantSplit/>
          <w:jc w:val="center"/>
        </w:trPr>
        <w:tc>
          <w:tcPr>
            <w:tcW w:w="3889" w:type="dxa"/>
            <w:gridSpan w:val="2"/>
            <w:tcBorders>
              <w:top w:val="single" w:sz="8" w:space="0" w:color="152935"/>
              <w:left w:val="nil"/>
              <w:bottom w:val="single" w:sz="8" w:space="0" w:color="AEAEAE"/>
              <w:right w:val="nil"/>
            </w:tcBorders>
            <w:shd w:val="clear" w:color="auto" w:fill="E0E0E0"/>
            <w:hideMark/>
          </w:tcPr>
          <w:p w:rsidR="00C9603E" w:rsidRPr="00F24CEC" w:rsidRDefault="00C9603E" w:rsidP="0096614F">
            <w:pPr>
              <w:autoSpaceDE w:val="0"/>
              <w:autoSpaceDN w:val="0"/>
              <w:adjustRightInd w:val="0"/>
              <w:ind w:left="60" w:right="60"/>
              <w:rPr>
                <w:sz w:val="20"/>
              </w:rPr>
            </w:pPr>
            <w:r w:rsidRPr="00F24CEC">
              <w:rPr>
                <w:sz w:val="20"/>
              </w:rPr>
              <w:t>N</w:t>
            </w:r>
          </w:p>
        </w:tc>
        <w:tc>
          <w:tcPr>
            <w:tcW w:w="1475" w:type="dxa"/>
            <w:tcBorders>
              <w:top w:val="single" w:sz="8" w:space="0" w:color="152935"/>
              <w:left w:val="nil"/>
              <w:bottom w:val="single" w:sz="8" w:space="0" w:color="AEAEAE"/>
              <w:right w:val="nil"/>
            </w:tcBorders>
            <w:shd w:val="clear" w:color="auto" w:fill="FFFFFF"/>
            <w:hideMark/>
          </w:tcPr>
          <w:p w:rsidR="00C9603E" w:rsidRPr="00F24CEC" w:rsidRDefault="00C9603E" w:rsidP="0096614F">
            <w:pPr>
              <w:autoSpaceDE w:val="0"/>
              <w:autoSpaceDN w:val="0"/>
              <w:adjustRightInd w:val="0"/>
              <w:ind w:left="60" w:right="60"/>
              <w:jc w:val="right"/>
              <w:rPr>
                <w:sz w:val="20"/>
              </w:rPr>
            </w:pPr>
            <w:r w:rsidRPr="00F24CEC">
              <w:rPr>
                <w:sz w:val="20"/>
              </w:rPr>
              <w:t>12</w:t>
            </w:r>
          </w:p>
        </w:tc>
      </w:tr>
      <w:tr w:rsidR="00F24CEC" w:rsidRPr="00F24CEC" w:rsidTr="0096614F">
        <w:trPr>
          <w:cantSplit/>
          <w:jc w:val="center"/>
        </w:trPr>
        <w:tc>
          <w:tcPr>
            <w:tcW w:w="2444" w:type="dxa"/>
            <w:vMerge w:val="restart"/>
            <w:tcBorders>
              <w:top w:val="single" w:sz="8" w:space="0" w:color="AEAEAE"/>
              <w:left w:val="nil"/>
              <w:bottom w:val="single" w:sz="8" w:space="0" w:color="AEAEAE"/>
              <w:right w:val="nil"/>
            </w:tcBorders>
            <w:shd w:val="clear" w:color="auto" w:fill="E0E0E0"/>
            <w:hideMark/>
          </w:tcPr>
          <w:p w:rsidR="00C9603E" w:rsidRPr="00F24CEC" w:rsidRDefault="00C9603E" w:rsidP="0096614F">
            <w:pPr>
              <w:autoSpaceDE w:val="0"/>
              <w:autoSpaceDN w:val="0"/>
              <w:adjustRightInd w:val="0"/>
              <w:ind w:left="60" w:right="60"/>
              <w:rPr>
                <w:sz w:val="20"/>
              </w:rPr>
            </w:pPr>
            <w:r w:rsidRPr="00F24CEC">
              <w:rPr>
                <w:sz w:val="20"/>
              </w:rPr>
              <w:t>Normal Parameters, b</w:t>
            </w:r>
          </w:p>
        </w:tc>
        <w:tc>
          <w:tcPr>
            <w:tcW w:w="1445" w:type="dxa"/>
            <w:tcBorders>
              <w:top w:val="single" w:sz="8" w:space="0" w:color="AEAEAE"/>
              <w:left w:val="nil"/>
              <w:bottom w:val="single" w:sz="8" w:space="0" w:color="AEAEAE"/>
              <w:right w:val="nil"/>
            </w:tcBorders>
            <w:shd w:val="clear" w:color="auto" w:fill="E0E0E0"/>
            <w:hideMark/>
          </w:tcPr>
          <w:p w:rsidR="00C9603E" w:rsidRPr="00F24CEC" w:rsidRDefault="00C9603E" w:rsidP="0096614F">
            <w:pPr>
              <w:autoSpaceDE w:val="0"/>
              <w:autoSpaceDN w:val="0"/>
              <w:adjustRightInd w:val="0"/>
              <w:ind w:left="60" w:right="60"/>
              <w:rPr>
                <w:sz w:val="20"/>
              </w:rPr>
            </w:pPr>
            <w:r w:rsidRPr="00F24CEC">
              <w:rPr>
                <w:sz w:val="20"/>
              </w:rPr>
              <w:t>Mean</w:t>
            </w:r>
          </w:p>
        </w:tc>
        <w:tc>
          <w:tcPr>
            <w:tcW w:w="1475" w:type="dxa"/>
            <w:tcBorders>
              <w:top w:val="single" w:sz="8" w:space="0" w:color="AEAEAE"/>
              <w:left w:val="nil"/>
              <w:bottom w:val="single" w:sz="8" w:space="0" w:color="AEAEAE"/>
              <w:right w:val="nil"/>
            </w:tcBorders>
            <w:shd w:val="clear" w:color="auto" w:fill="FFFFFF"/>
            <w:hideMark/>
          </w:tcPr>
          <w:p w:rsidR="00C9603E" w:rsidRPr="00F24CEC" w:rsidRDefault="00C9603E" w:rsidP="0096614F">
            <w:pPr>
              <w:autoSpaceDE w:val="0"/>
              <w:autoSpaceDN w:val="0"/>
              <w:adjustRightInd w:val="0"/>
              <w:ind w:left="60" w:right="60"/>
              <w:jc w:val="right"/>
              <w:rPr>
                <w:sz w:val="20"/>
              </w:rPr>
            </w:pPr>
            <w:r w:rsidRPr="00F24CEC">
              <w:rPr>
                <w:sz w:val="20"/>
              </w:rPr>
              <w:t>.0000000</w:t>
            </w:r>
          </w:p>
        </w:tc>
      </w:tr>
      <w:tr w:rsidR="00F24CEC" w:rsidRPr="00F24CEC" w:rsidTr="0096614F">
        <w:trPr>
          <w:cantSplit/>
          <w:jc w:val="center"/>
        </w:trPr>
        <w:tc>
          <w:tcPr>
            <w:tcW w:w="5364" w:type="dxa"/>
            <w:vMerge/>
            <w:tcBorders>
              <w:top w:val="single" w:sz="8" w:space="0" w:color="AEAEAE"/>
              <w:left w:val="nil"/>
              <w:bottom w:val="single" w:sz="8" w:space="0" w:color="AEAEAE"/>
              <w:right w:val="nil"/>
            </w:tcBorders>
            <w:vAlign w:val="center"/>
            <w:hideMark/>
          </w:tcPr>
          <w:p w:rsidR="00C9603E" w:rsidRPr="00F24CEC" w:rsidRDefault="00C9603E" w:rsidP="0096614F">
            <w:pPr>
              <w:rPr>
                <w:sz w:val="20"/>
                <w14:ligatures w14:val="standardContextual"/>
              </w:rPr>
            </w:pPr>
          </w:p>
        </w:tc>
        <w:tc>
          <w:tcPr>
            <w:tcW w:w="1445" w:type="dxa"/>
            <w:tcBorders>
              <w:top w:val="single" w:sz="8" w:space="0" w:color="AEAEAE"/>
              <w:left w:val="nil"/>
              <w:bottom w:val="single" w:sz="8" w:space="0" w:color="AEAEAE"/>
              <w:right w:val="nil"/>
            </w:tcBorders>
            <w:shd w:val="clear" w:color="auto" w:fill="E0E0E0"/>
            <w:hideMark/>
          </w:tcPr>
          <w:p w:rsidR="00C9603E" w:rsidRPr="00F24CEC" w:rsidRDefault="00C9603E" w:rsidP="0096614F">
            <w:pPr>
              <w:autoSpaceDE w:val="0"/>
              <w:autoSpaceDN w:val="0"/>
              <w:adjustRightInd w:val="0"/>
              <w:ind w:left="60" w:right="60"/>
              <w:rPr>
                <w:sz w:val="20"/>
              </w:rPr>
            </w:pPr>
            <w:r w:rsidRPr="00F24CEC">
              <w:rPr>
                <w:sz w:val="20"/>
              </w:rPr>
              <w:t>Std. Deviation</w:t>
            </w:r>
          </w:p>
        </w:tc>
        <w:tc>
          <w:tcPr>
            <w:tcW w:w="1475" w:type="dxa"/>
            <w:tcBorders>
              <w:top w:val="single" w:sz="8" w:space="0" w:color="AEAEAE"/>
              <w:left w:val="nil"/>
              <w:bottom w:val="single" w:sz="8" w:space="0" w:color="AEAEAE"/>
              <w:right w:val="nil"/>
            </w:tcBorders>
            <w:shd w:val="clear" w:color="auto" w:fill="FFFFFF"/>
            <w:hideMark/>
          </w:tcPr>
          <w:p w:rsidR="00C9603E" w:rsidRPr="00F24CEC" w:rsidRDefault="00C9603E" w:rsidP="0096614F">
            <w:pPr>
              <w:autoSpaceDE w:val="0"/>
              <w:autoSpaceDN w:val="0"/>
              <w:adjustRightInd w:val="0"/>
              <w:ind w:left="60" w:right="60"/>
              <w:jc w:val="right"/>
              <w:rPr>
                <w:sz w:val="20"/>
              </w:rPr>
            </w:pPr>
            <w:r w:rsidRPr="00F24CEC">
              <w:rPr>
                <w:sz w:val="20"/>
              </w:rPr>
              <w:t>13807.27575945</w:t>
            </w:r>
          </w:p>
        </w:tc>
      </w:tr>
      <w:tr w:rsidR="00F24CEC" w:rsidRPr="00F24CEC" w:rsidTr="0096614F">
        <w:trPr>
          <w:cantSplit/>
          <w:jc w:val="center"/>
        </w:trPr>
        <w:tc>
          <w:tcPr>
            <w:tcW w:w="2444" w:type="dxa"/>
            <w:vMerge w:val="restart"/>
            <w:tcBorders>
              <w:top w:val="single" w:sz="8" w:space="0" w:color="AEAEAE"/>
              <w:left w:val="nil"/>
              <w:bottom w:val="single" w:sz="8" w:space="0" w:color="AEAEAE"/>
              <w:right w:val="nil"/>
            </w:tcBorders>
            <w:shd w:val="clear" w:color="auto" w:fill="E0E0E0"/>
            <w:hideMark/>
          </w:tcPr>
          <w:p w:rsidR="00C9603E" w:rsidRPr="00F24CEC" w:rsidRDefault="00C9603E" w:rsidP="0096614F">
            <w:pPr>
              <w:autoSpaceDE w:val="0"/>
              <w:autoSpaceDN w:val="0"/>
              <w:adjustRightInd w:val="0"/>
              <w:ind w:left="60" w:right="60"/>
              <w:rPr>
                <w:sz w:val="20"/>
              </w:rPr>
            </w:pPr>
            <w:r w:rsidRPr="00F24CEC">
              <w:rPr>
                <w:sz w:val="20"/>
              </w:rPr>
              <w:t>Most Extreme Differences</w:t>
            </w:r>
          </w:p>
        </w:tc>
        <w:tc>
          <w:tcPr>
            <w:tcW w:w="1445" w:type="dxa"/>
            <w:tcBorders>
              <w:top w:val="single" w:sz="8" w:space="0" w:color="AEAEAE"/>
              <w:left w:val="nil"/>
              <w:bottom w:val="single" w:sz="8" w:space="0" w:color="AEAEAE"/>
              <w:right w:val="nil"/>
            </w:tcBorders>
            <w:shd w:val="clear" w:color="auto" w:fill="E0E0E0"/>
            <w:hideMark/>
          </w:tcPr>
          <w:p w:rsidR="00C9603E" w:rsidRPr="00F24CEC" w:rsidRDefault="00C9603E" w:rsidP="0096614F">
            <w:pPr>
              <w:autoSpaceDE w:val="0"/>
              <w:autoSpaceDN w:val="0"/>
              <w:adjustRightInd w:val="0"/>
              <w:ind w:left="60" w:right="60"/>
              <w:rPr>
                <w:sz w:val="20"/>
              </w:rPr>
            </w:pPr>
            <w:r w:rsidRPr="00F24CEC">
              <w:rPr>
                <w:sz w:val="20"/>
              </w:rPr>
              <w:t>Absolute</w:t>
            </w:r>
          </w:p>
        </w:tc>
        <w:tc>
          <w:tcPr>
            <w:tcW w:w="1475" w:type="dxa"/>
            <w:tcBorders>
              <w:top w:val="single" w:sz="8" w:space="0" w:color="AEAEAE"/>
              <w:left w:val="nil"/>
              <w:bottom w:val="single" w:sz="8" w:space="0" w:color="AEAEAE"/>
              <w:right w:val="nil"/>
            </w:tcBorders>
            <w:shd w:val="clear" w:color="auto" w:fill="FFFFFF"/>
            <w:hideMark/>
          </w:tcPr>
          <w:p w:rsidR="00C9603E" w:rsidRPr="00F24CEC" w:rsidRDefault="00C9603E" w:rsidP="0096614F">
            <w:pPr>
              <w:autoSpaceDE w:val="0"/>
              <w:autoSpaceDN w:val="0"/>
              <w:adjustRightInd w:val="0"/>
              <w:ind w:left="60" w:right="60"/>
              <w:jc w:val="right"/>
              <w:rPr>
                <w:sz w:val="20"/>
              </w:rPr>
            </w:pPr>
            <w:r w:rsidRPr="00F24CEC">
              <w:rPr>
                <w:sz w:val="20"/>
              </w:rPr>
              <w:t>,214</w:t>
            </w:r>
          </w:p>
        </w:tc>
      </w:tr>
      <w:tr w:rsidR="00F24CEC" w:rsidRPr="00F24CEC" w:rsidTr="0096614F">
        <w:trPr>
          <w:cantSplit/>
          <w:jc w:val="center"/>
        </w:trPr>
        <w:tc>
          <w:tcPr>
            <w:tcW w:w="5364" w:type="dxa"/>
            <w:vMerge/>
            <w:tcBorders>
              <w:top w:val="single" w:sz="8" w:space="0" w:color="AEAEAE"/>
              <w:left w:val="nil"/>
              <w:bottom w:val="single" w:sz="8" w:space="0" w:color="AEAEAE"/>
              <w:right w:val="nil"/>
            </w:tcBorders>
            <w:vAlign w:val="center"/>
            <w:hideMark/>
          </w:tcPr>
          <w:p w:rsidR="00C9603E" w:rsidRPr="00F24CEC" w:rsidRDefault="00C9603E" w:rsidP="0096614F">
            <w:pPr>
              <w:rPr>
                <w:sz w:val="20"/>
                <w14:ligatures w14:val="standardContextual"/>
              </w:rPr>
            </w:pPr>
          </w:p>
        </w:tc>
        <w:tc>
          <w:tcPr>
            <w:tcW w:w="1445" w:type="dxa"/>
            <w:tcBorders>
              <w:top w:val="single" w:sz="8" w:space="0" w:color="AEAEAE"/>
              <w:left w:val="nil"/>
              <w:bottom w:val="single" w:sz="8" w:space="0" w:color="AEAEAE"/>
              <w:right w:val="nil"/>
            </w:tcBorders>
            <w:shd w:val="clear" w:color="auto" w:fill="E0E0E0"/>
            <w:hideMark/>
          </w:tcPr>
          <w:p w:rsidR="00C9603E" w:rsidRPr="00F24CEC" w:rsidRDefault="00C9603E" w:rsidP="0096614F">
            <w:pPr>
              <w:autoSpaceDE w:val="0"/>
              <w:autoSpaceDN w:val="0"/>
              <w:adjustRightInd w:val="0"/>
              <w:ind w:left="60" w:right="60"/>
              <w:rPr>
                <w:sz w:val="20"/>
              </w:rPr>
            </w:pPr>
            <w:r w:rsidRPr="00F24CEC">
              <w:rPr>
                <w:sz w:val="20"/>
              </w:rPr>
              <w:t>Positive</w:t>
            </w:r>
          </w:p>
        </w:tc>
        <w:tc>
          <w:tcPr>
            <w:tcW w:w="1475" w:type="dxa"/>
            <w:tcBorders>
              <w:top w:val="single" w:sz="8" w:space="0" w:color="AEAEAE"/>
              <w:left w:val="nil"/>
              <w:bottom w:val="single" w:sz="8" w:space="0" w:color="AEAEAE"/>
              <w:right w:val="nil"/>
            </w:tcBorders>
            <w:shd w:val="clear" w:color="auto" w:fill="FFFFFF"/>
            <w:hideMark/>
          </w:tcPr>
          <w:p w:rsidR="00C9603E" w:rsidRPr="00F24CEC" w:rsidRDefault="00C9603E" w:rsidP="0096614F">
            <w:pPr>
              <w:autoSpaceDE w:val="0"/>
              <w:autoSpaceDN w:val="0"/>
              <w:adjustRightInd w:val="0"/>
              <w:ind w:left="60" w:right="60"/>
              <w:jc w:val="right"/>
              <w:rPr>
                <w:sz w:val="20"/>
              </w:rPr>
            </w:pPr>
            <w:r w:rsidRPr="00F24CEC">
              <w:rPr>
                <w:sz w:val="20"/>
              </w:rPr>
              <w:t>.131</w:t>
            </w:r>
          </w:p>
        </w:tc>
      </w:tr>
      <w:tr w:rsidR="00F24CEC" w:rsidRPr="00F24CEC" w:rsidTr="0096614F">
        <w:trPr>
          <w:cantSplit/>
          <w:jc w:val="center"/>
        </w:trPr>
        <w:tc>
          <w:tcPr>
            <w:tcW w:w="5364" w:type="dxa"/>
            <w:vMerge/>
            <w:tcBorders>
              <w:top w:val="single" w:sz="8" w:space="0" w:color="AEAEAE"/>
              <w:left w:val="nil"/>
              <w:bottom w:val="single" w:sz="8" w:space="0" w:color="AEAEAE"/>
              <w:right w:val="nil"/>
            </w:tcBorders>
            <w:vAlign w:val="center"/>
            <w:hideMark/>
          </w:tcPr>
          <w:p w:rsidR="00C9603E" w:rsidRPr="00F24CEC" w:rsidRDefault="00C9603E" w:rsidP="0096614F">
            <w:pPr>
              <w:rPr>
                <w:sz w:val="20"/>
                <w14:ligatures w14:val="standardContextual"/>
              </w:rPr>
            </w:pPr>
          </w:p>
        </w:tc>
        <w:tc>
          <w:tcPr>
            <w:tcW w:w="1445" w:type="dxa"/>
            <w:tcBorders>
              <w:top w:val="single" w:sz="8" w:space="0" w:color="AEAEAE"/>
              <w:left w:val="nil"/>
              <w:bottom w:val="single" w:sz="8" w:space="0" w:color="AEAEAE"/>
              <w:right w:val="nil"/>
            </w:tcBorders>
            <w:shd w:val="clear" w:color="auto" w:fill="E0E0E0"/>
            <w:hideMark/>
          </w:tcPr>
          <w:p w:rsidR="00C9603E" w:rsidRPr="00F24CEC" w:rsidRDefault="00C9603E" w:rsidP="0096614F">
            <w:pPr>
              <w:autoSpaceDE w:val="0"/>
              <w:autoSpaceDN w:val="0"/>
              <w:adjustRightInd w:val="0"/>
              <w:ind w:left="60" w:right="60"/>
              <w:rPr>
                <w:sz w:val="20"/>
              </w:rPr>
            </w:pPr>
            <w:r w:rsidRPr="00F24CEC">
              <w:rPr>
                <w:sz w:val="20"/>
              </w:rPr>
              <w:t>Negative</w:t>
            </w:r>
          </w:p>
        </w:tc>
        <w:tc>
          <w:tcPr>
            <w:tcW w:w="1475" w:type="dxa"/>
            <w:tcBorders>
              <w:top w:val="single" w:sz="8" w:space="0" w:color="AEAEAE"/>
              <w:left w:val="nil"/>
              <w:bottom w:val="single" w:sz="8" w:space="0" w:color="AEAEAE"/>
              <w:right w:val="nil"/>
            </w:tcBorders>
            <w:shd w:val="clear" w:color="auto" w:fill="FFFFFF"/>
            <w:hideMark/>
          </w:tcPr>
          <w:p w:rsidR="00C9603E" w:rsidRPr="00F24CEC" w:rsidRDefault="00C9603E" w:rsidP="0096614F">
            <w:pPr>
              <w:autoSpaceDE w:val="0"/>
              <w:autoSpaceDN w:val="0"/>
              <w:adjustRightInd w:val="0"/>
              <w:ind w:left="60" w:right="60"/>
              <w:jc w:val="right"/>
              <w:rPr>
                <w:sz w:val="20"/>
              </w:rPr>
            </w:pPr>
            <w:r w:rsidRPr="00F24CEC">
              <w:rPr>
                <w:sz w:val="20"/>
              </w:rPr>
              <w:t>-.214</w:t>
            </w:r>
          </w:p>
        </w:tc>
      </w:tr>
      <w:tr w:rsidR="00F24CEC" w:rsidRPr="00F24CEC" w:rsidTr="0096614F">
        <w:trPr>
          <w:cantSplit/>
          <w:jc w:val="center"/>
        </w:trPr>
        <w:tc>
          <w:tcPr>
            <w:tcW w:w="3889" w:type="dxa"/>
            <w:gridSpan w:val="2"/>
            <w:tcBorders>
              <w:top w:val="single" w:sz="8" w:space="0" w:color="AEAEAE"/>
              <w:left w:val="nil"/>
              <w:bottom w:val="single" w:sz="8" w:space="0" w:color="AEAEAE"/>
              <w:right w:val="nil"/>
            </w:tcBorders>
            <w:shd w:val="clear" w:color="auto" w:fill="E0E0E0"/>
            <w:hideMark/>
          </w:tcPr>
          <w:p w:rsidR="00C9603E" w:rsidRPr="00F24CEC" w:rsidRDefault="00C9603E" w:rsidP="0096614F">
            <w:pPr>
              <w:autoSpaceDE w:val="0"/>
              <w:autoSpaceDN w:val="0"/>
              <w:adjustRightInd w:val="0"/>
              <w:ind w:left="60" w:right="60"/>
              <w:rPr>
                <w:sz w:val="20"/>
              </w:rPr>
            </w:pPr>
            <w:r w:rsidRPr="00F24CEC">
              <w:rPr>
                <w:sz w:val="20"/>
              </w:rPr>
              <w:t>Statistical Tests</w:t>
            </w:r>
          </w:p>
        </w:tc>
        <w:tc>
          <w:tcPr>
            <w:tcW w:w="1475" w:type="dxa"/>
            <w:tcBorders>
              <w:top w:val="single" w:sz="8" w:space="0" w:color="AEAEAE"/>
              <w:left w:val="nil"/>
              <w:bottom w:val="single" w:sz="8" w:space="0" w:color="AEAEAE"/>
              <w:right w:val="nil"/>
            </w:tcBorders>
            <w:shd w:val="clear" w:color="auto" w:fill="FFFFFF"/>
            <w:hideMark/>
          </w:tcPr>
          <w:p w:rsidR="00C9603E" w:rsidRPr="00F24CEC" w:rsidRDefault="00C9603E" w:rsidP="0096614F">
            <w:pPr>
              <w:autoSpaceDE w:val="0"/>
              <w:autoSpaceDN w:val="0"/>
              <w:adjustRightInd w:val="0"/>
              <w:ind w:left="60" w:right="60"/>
              <w:jc w:val="right"/>
              <w:rPr>
                <w:sz w:val="20"/>
              </w:rPr>
            </w:pPr>
            <w:r w:rsidRPr="00F24CEC">
              <w:rPr>
                <w:sz w:val="20"/>
              </w:rPr>
              <w:t>,214</w:t>
            </w:r>
          </w:p>
        </w:tc>
      </w:tr>
      <w:tr w:rsidR="00F24CEC" w:rsidRPr="00F24CEC" w:rsidTr="0096614F">
        <w:trPr>
          <w:cantSplit/>
          <w:jc w:val="center"/>
        </w:trPr>
        <w:tc>
          <w:tcPr>
            <w:tcW w:w="3889" w:type="dxa"/>
            <w:gridSpan w:val="2"/>
            <w:tcBorders>
              <w:top w:val="single" w:sz="8" w:space="0" w:color="AEAEAE"/>
              <w:left w:val="nil"/>
              <w:bottom w:val="single" w:sz="8" w:space="0" w:color="152935"/>
              <w:right w:val="nil"/>
            </w:tcBorders>
            <w:shd w:val="clear" w:color="auto" w:fill="E0E0E0"/>
            <w:hideMark/>
          </w:tcPr>
          <w:p w:rsidR="00C9603E" w:rsidRPr="00F24CEC" w:rsidRDefault="00C9603E" w:rsidP="0096614F">
            <w:pPr>
              <w:autoSpaceDE w:val="0"/>
              <w:autoSpaceDN w:val="0"/>
              <w:adjustRightInd w:val="0"/>
              <w:ind w:left="60" w:right="60"/>
              <w:rPr>
                <w:sz w:val="20"/>
              </w:rPr>
            </w:pPr>
            <w:proofErr w:type="spellStart"/>
            <w:r w:rsidRPr="00F24CEC">
              <w:rPr>
                <w:sz w:val="20"/>
              </w:rPr>
              <w:t>Asymp</w:t>
            </w:r>
            <w:proofErr w:type="spellEnd"/>
            <w:r w:rsidRPr="00F24CEC">
              <w:rPr>
                <w:sz w:val="20"/>
              </w:rPr>
              <w:t>. Sig. (2-tailed)</w:t>
            </w:r>
          </w:p>
        </w:tc>
        <w:tc>
          <w:tcPr>
            <w:tcW w:w="1475" w:type="dxa"/>
            <w:tcBorders>
              <w:top w:val="single" w:sz="8" w:space="0" w:color="AEAEAE"/>
              <w:left w:val="nil"/>
              <w:bottom w:val="single" w:sz="8" w:space="0" w:color="152935"/>
              <w:right w:val="nil"/>
            </w:tcBorders>
            <w:shd w:val="clear" w:color="auto" w:fill="FFFFFF"/>
            <w:hideMark/>
          </w:tcPr>
          <w:p w:rsidR="00C9603E" w:rsidRPr="00F24CEC" w:rsidRDefault="00C9603E" w:rsidP="0096614F">
            <w:pPr>
              <w:autoSpaceDE w:val="0"/>
              <w:autoSpaceDN w:val="0"/>
              <w:adjustRightInd w:val="0"/>
              <w:ind w:left="60" w:right="60"/>
              <w:jc w:val="right"/>
              <w:rPr>
                <w:sz w:val="20"/>
              </w:rPr>
            </w:pPr>
            <w:r w:rsidRPr="00F24CEC">
              <w:rPr>
                <w:sz w:val="20"/>
              </w:rPr>
              <w:t>.135c</w:t>
            </w:r>
          </w:p>
        </w:tc>
      </w:tr>
      <w:tr w:rsidR="00F24CEC" w:rsidRPr="00F24CEC" w:rsidTr="0096614F">
        <w:trPr>
          <w:cantSplit/>
          <w:jc w:val="center"/>
        </w:trPr>
        <w:tc>
          <w:tcPr>
            <w:tcW w:w="5364" w:type="dxa"/>
            <w:gridSpan w:val="3"/>
            <w:tcBorders>
              <w:top w:val="nil"/>
              <w:left w:val="nil"/>
              <w:bottom w:val="nil"/>
              <w:right w:val="nil"/>
            </w:tcBorders>
            <w:shd w:val="clear" w:color="auto" w:fill="FFFFFF"/>
            <w:hideMark/>
          </w:tcPr>
          <w:p w:rsidR="00C9603E" w:rsidRPr="00F24CEC" w:rsidRDefault="00C9603E" w:rsidP="0096614F">
            <w:pPr>
              <w:autoSpaceDE w:val="0"/>
              <w:autoSpaceDN w:val="0"/>
              <w:adjustRightInd w:val="0"/>
              <w:ind w:left="60" w:right="60"/>
              <w:rPr>
                <w:sz w:val="20"/>
              </w:rPr>
            </w:pPr>
            <w:r w:rsidRPr="00F24CEC">
              <w:rPr>
                <w:sz w:val="20"/>
              </w:rPr>
              <w:t>a. Test distribution is Normal.</w:t>
            </w:r>
          </w:p>
        </w:tc>
      </w:tr>
      <w:tr w:rsidR="00F24CEC" w:rsidRPr="00F24CEC" w:rsidTr="0096614F">
        <w:trPr>
          <w:cantSplit/>
          <w:jc w:val="center"/>
        </w:trPr>
        <w:tc>
          <w:tcPr>
            <w:tcW w:w="5364" w:type="dxa"/>
            <w:gridSpan w:val="3"/>
            <w:tcBorders>
              <w:top w:val="nil"/>
              <w:left w:val="nil"/>
              <w:bottom w:val="nil"/>
              <w:right w:val="nil"/>
            </w:tcBorders>
            <w:shd w:val="clear" w:color="auto" w:fill="FFFFFF"/>
            <w:hideMark/>
          </w:tcPr>
          <w:p w:rsidR="00C9603E" w:rsidRPr="00F24CEC" w:rsidRDefault="00C9603E" w:rsidP="0096614F">
            <w:pPr>
              <w:autoSpaceDE w:val="0"/>
              <w:autoSpaceDN w:val="0"/>
              <w:adjustRightInd w:val="0"/>
              <w:ind w:left="60" w:right="60"/>
              <w:rPr>
                <w:sz w:val="20"/>
              </w:rPr>
            </w:pPr>
            <w:r w:rsidRPr="00F24CEC">
              <w:rPr>
                <w:sz w:val="20"/>
              </w:rPr>
              <w:t>b. Calculated from data.</w:t>
            </w:r>
          </w:p>
        </w:tc>
      </w:tr>
      <w:tr w:rsidR="00F24CEC" w:rsidRPr="00F24CEC" w:rsidTr="0096614F">
        <w:trPr>
          <w:cantSplit/>
          <w:jc w:val="center"/>
        </w:trPr>
        <w:tc>
          <w:tcPr>
            <w:tcW w:w="5364" w:type="dxa"/>
            <w:gridSpan w:val="3"/>
            <w:tcBorders>
              <w:top w:val="nil"/>
              <w:left w:val="nil"/>
              <w:bottom w:val="nil"/>
              <w:right w:val="nil"/>
            </w:tcBorders>
            <w:shd w:val="clear" w:color="auto" w:fill="FFFFFF"/>
            <w:hideMark/>
          </w:tcPr>
          <w:p w:rsidR="00C9603E" w:rsidRPr="00F24CEC" w:rsidRDefault="00C9603E" w:rsidP="0096614F">
            <w:pPr>
              <w:autoSpaceDE w:val="0"/>
              <w:autoSpaceDN w:val="0"/>
              <w:adjustRightInd w:val="0"/>
              <w:ind w:left="60" w:right="60"/>
              <w:rPr>
                <w:sz w:val="20"/>
              </w:rPr>
            </w:pPr>
            <w:proofErr w:type="gramStart"/>
            <w:r w:rsidRPr="00F24CEC">
              <w:rPr>
                <w:sz w:val="20"/>
              </w:rPr>
              <w:t>c</w:t>
            </w:r>
            <w:proofErr w:type="gramEnd"/>
            <w:r w:rsidRPr="00F24CEC">
              <w:rPr>
                <w:sz w:val="20"/>
              </w:rPr>
              <w:t xml:space="preserve">. </w:t>
            </w:r>
            <w:proofErr w:type="spellStart"/>
            <w:r w:rsidRPr="00F24CEC">
              <w:rPr>
                <w:sz w:val="20"/>
              </w:rPr>
              <w:t>Lilliefors</w:t>
            </w:r>
            <w:proofErr w:type="spellEnd"/>
            <w:r w:rsidRPr="00F24CEC">
              <w:rPr>
                <w:sz w:val="20"/>
              </w:rPr>
              <w:t xml:space="preserve"> Significance Correction.</w:t>
            </w:r>
          </w:p>
        </w:tc>
      </w:tr>
    </w:tbl>
    <w:p w:rsidR="00C9603E" w:rsidRPr="00F24CEC" w:rsidRDefault="00C9603E" w:rsidP="00C9603E">
      <w:pPr>
        <w:ind w:firstLine="557"/>
        <w:jc w:val="both"/>
      </w:pPr>
      <w:r w:rsidRPr="00F24CEC">
        <w:t xml:space="preserve">This table shows the results of the normality test carried out using the One-Sample Kolmogorov-Smirnov method on the company reputation variable. In this table, there is </w:t>
      </w:r>
      <w:proofErr w:type="gramStart"/>
      <w:r w:rsidRPr="00F24CEC">
        <w:t>several important information,</w:t>
      </w:r>
      <w:proofErr w:type="gramEnd"/>
      <w:r w:rsidRPr="00F24CEC">
        <w:t xml:space="preserve"> including:</w:t>
      </w:r>
    </w:p>
    <w:p w:rsidR="00C9603E" w:rsidRPr="00F24CEC" w:rsidRDefault="00C9603E" w:rsidP="00C9603E">
      <w:pPr>
        <w:ind w:left="567"/>
      </w:pPr>
      <w:r w:rsidRPr="00F24CEC">
        <w:t>- N: Number of data samples tested for normality, namely 12.</w:t>
      </w:r>
    </w:p>
    <w:p w:rsidR="00C9603E" w:rsidRPr="00F24CEC" w:rsidRDefault="00C9603E" w:rsidP="00C9603E">
      <w:pPr>
        <w:ind w:left="567"/>
      </w:pPr>
      <w:r w:rsidRPr="00F24CEC">
        <w:t>- Statistical Test: The statistical value of the normality test, in this case is 0.214.</w:t>
      </w:r>
    </w:p>
    <w:p w:rsidR="00C9603E" w:rsidRPr="00F24CEC" w:rsidRDefault="00C9603E" w:rsidP="00C9603E">
      <w:pPr>
        <w:ind w:left="567"/>
      </w:pPr>
      <w:r w:rsidRPr="00F24CEC">
        <w:t xml:space="preserve">- </w:t>
      </w:r>
      <w:proofErr w:type="spellStart"/>
      <w:r w:rsidRPr="00F24CEC">
        <w:t>Asymp</w:t>
      </w:r>
      <w:proofErr w:type="spellEnd"/>
      <w:r w:rsidRPr="00F24CEC">
        <w:t>. Sig. (2-tailed): Two-tailed significance value from the normality test, namely 0.135.</w:t>
      </w:r>
    </w:p>
    <w:p w:rsidR="00C9603E" w:rsidRPr="00F24CEC" w:rsidRDefault="00C9603E" w:rsidP="00C9603E">
      <w:pPr>
        <w:ind w:firstLine="557"/>
        <w:jc w:val="both"/>
      </w:pPr>
      <w:r w:rsidRPr="00F24CEC">
        <w:t>Based on the results of the normality test, it can be concluded that the company reputation variable is normally distributed, because the significance value (</w:t>
      </w:r>
      <w:proofErr w:type="spellStart"/>
      <w:r w:rsidRPr="00F24CEC">
        <w:t>Asymp</w:t>
      </w:r>
      <w:proofErr w:type="spellEnd"/>
      <w:r w:rsidRPr="00F24CEC">
        <w:t xml:space="preserve">. </w:t>
      </w:r>
      <w:proofErr w:type="gramStart"/>
      <w:r w:rsidRPr="00F24CEC">
        <w:t>Sig.)</w:t>
      </w:r>
      <w:proofErr w:type="gramEnd"/>
      <w:r w:rsidRPr="00F24CEC">
        <w:t xml:space="preserve"> </w:t>
      </w:r>
      <w:proofErr w:type="gramStart"/>
      <w:r w:rsidRPr="00F24CEC">
        <w:t>is</w:t>
      </w:r>
      <w:proofErr w:type="gramEnd"/>
      <w:r w:rsidRPr="00F24CEC">
        <w:t xml:space="preserve"> greater than 0.05. The following are the results of the partial significance test (T test) used to determine the effect of the independent variable on the dependent variable in the regression model. The standard used is if t calculated &gt; t table then reject Ho and accept Ha, which means the independent variable has an influence on the dependent variable with a degree of confidence of 5% (𝛌 i= 0.05), or vice versa, if t calculated &lt; t table, then accept Ho and reject Ha. The T test results are displayed in the following explanation:</w:t>
      </w:r>
    </w:p>
    <w:tbl>
      <w:tblPr>
        <w:tblW w:w="8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F24CEC" w:rsidRPr="00F24CEC" w:rsidTr="0096614F">
        <w:trPr>
          <w:cantSplit/>
        </w:trPr>
        <w:tc>
          <w:tcPr>
            <w:tcW w:w="8127" w:type="dxa"/>
            <w:gridSpan w:val="7"/>
            <w:tcBorders>
              <w:top w:val="nil"/>
              <w:left w:val="nil"/>
              <w:bottom w:val="nil"/>
              <w:right w:val="nil"/>
            </w:tcBorders>
            <w:shd w:val="clear" w:color="auto" w:fill="FFFFFF"/>
            <w:vAlign w:val="center"/>
          </w:tcPr>
          <w:p w:rsidR="00C9603E" w:rsidRPr="00F24CEC" w:rsidRDefault="00C9603E" w:rsidP="0096614F">
            <w:pPr>
              <w:autoSpaceDE w:val="0"/>
              <w:autoSpaceDN w:val="0"/>
              <w:adjustRightInd w:val="0"/>
              <w:ind w:left="60" w:right="60"/>
              <w:jc w:val="center"/>
              <w:rPr>
                <w:rFonts w:eastAsiaTheme="minorHAnsi"/>
                <w:sz w:val="18"/>
                <w:lang w:val="en-ID"/>
              </w:rPr>
            </w:pPr>
            <w:proofErr w:type="spellStart"/>
            <w:r w:rsidRPr="00F24CEC">
              <w:rPr>
                <w:rFonts w:eastAsiaTheme="minorHAnsi"/>
                <w:b/>
                <w:bCs/>
                <w:sz w:val="18"/>
                <w:lang w:val="en-ID"/>
              </w:rPr>
              <w:t>Coefficientsa</w:t>
            </w:r>
            <w:proofErr w:type="spellEnd"/>
          </w:p>
        </w:tc>
      </w:tr>
      <w:tr w:rsidR="00F24CEC" w:rsidRPr="00F24CEC" w:rsidTr="0096614F">
        <w:trPr>
          <w:cantSplit/>
        </w:trPr>
        <w:tc>
          <w:tcPr>
            <w:tcW w:w="1920" w:type="dxa"/>
            <w:gridSpan w:val="2"/>
            <w:vMerge w:val="restart"/>
            <w:tcBorders>
              <w:top w:val="nil"/>
              <w:left w:val="nil"/>
              <w:bottom w:val="nil"/>
              <w:right w:val="nil"/>
            </w:tcBorders>
            <w:shd w:val="clear" w:color="auto" w:fill="FFFFFF"/>
            <w:vAlign w:val="bottom"/>
          </w:tcPr>
          <w:p w:rsidR="00C9603E" w:rsidRPr="00F24CEC" w:rsidRDefault="00C9603E" w:rsidP="0096614F">
            <w:pPr>
              <w:autoSpaceDE w:val="0"/>
              <w:autoSpaceDN w:val="0"/>
              <w:adjustRightInd w:val="0"/>
              <w:ind w:left="60" w:right="60"/>
              <w:rPr>
                <w:rFonts w:eastAsiaTheme="minorHAnsi"/>
                <w:sz w:val="18"/>
                <w:lang w:val="en-ID"/>
              </w:rPr>
            </w:pPr>
            <w:r w:rsidRPr="00F24CEC">
              <w:rPr>
                <w:rFonts w:eastAsiaTheme="minorHAnsi"/>
                <w:sz w:val="18"/>
                <w:lang w:val="en-ID"/>
              </w:rPr>
              <w:t>Model</w:t>
            </w:r>
          </w:p>
        </w:tc>
        <w:tc>
          <w:tcPr>
            <w:tcW w:w="2674" w:type="dxa"/>
            <w:gridSpan w:val="2"/>
            <w:tcBorders>
              <w:top w:val="nil"/>
              <w:left w:val="nil"/>
              <w:bottom w:val="nil"/>
              <w:right w:val="single" w:sz="8" w:space="0" w:color="E0E0E0"/>
            </w:tcBorders>
            <w:shd w:val="clear" w:color="auto" w:fill="FFFFFF"/>
            <w:vAlign w:val="bottom"/>
          </w:tcPr>
          <w:p w:rsidR="00C9603E" w:rsidRPr="00F24CEC" w:rsidRDefault="00C9603E" w:rsidP="0096614F">
            <w:pPr>
              <w:autoSpaceDE w:val="0"/>
              <w:autoSpaceDN w:val="0"/>
              <w:adjustRightInd w:val="0"/>
              <w:ind w:left="60" w:right="60"/>
              <w:jc w:val="center"/>
              <w:rPr>
                <w:rFonts w:eastAsiaTheme="minorHAnsi"/>
                <w:sz w:val="18"/>
                <w:lang w:val="en-ID"/>
              </w:rPr>
            </w:pPr>
            <w:r w:rsidRPr="00F24CEC">
              <w:rPr>
                <w:rFonts w:eastAsiaTheme="minorHAnsi"/>
                <w:sz w:val="18"/>
                <w:lang w:val="en-ID"/>
              </w:rPr>
              <w:t>Unstandardized Coefficients</w:t>
            </w:r>
          </w:p>
        </w:tc>
        <w:tc>
          <w:tcPr>
            <w:tcW w:w="1475" w:type="dxa"/>
            <w:tcBorders>
              <w:top w:val="nil"/>
              <w:left w:val="single" w:sz="8" w:space="0" w:color="E0E0E0"/>
              <w:bottom w:val="nil"/>
              <w:right w:val="single" w:sz="8" w:space="0" w:color="E0E0E0"/>
            </w:tcBorders>
            <w:shd w:val="clear" w:color="auto" w:fill="FFFFFF"/>
            <w:vAlign w:val="bottom"/>
          </w:tcPr>
          <w:p w:rsidR="00C9603E" w:rsidRPr="00F24CEC" w:rsidRDefault="00C9603E" w:rsidP="0096614F">
            <w:pPr>
              <w:autoSpaceDE w:val="0"/>
              <w:autoSpaceDN w:val="0"/>
              <w:adjustRightInd w:val="0"/>
              <w:ind w:left="60" w:right="60"/>
              <w:jc w:val="center"/>
              <w:rPr>
                <w:rFonts w:eastAsiaTheme="minorHAnsi"/>
                <w:sz w:val="18"/>
                <w:lang w:val="en-ID"/>
              </w:rPr>
            </w:pPr>
            <w:r w:rsidRPr="00F24CEC">
              <w:rPr>
                <w:rFonts w:eastAsiaTheme="minorHAnsi"/>
                <w:sz w:val="18"/>
                <w:lang w:val="en-ID"/>
              </w:rPr>
              <w:t>Standardized Coefficients</w:t>
            </w:r>
          </w:p>
        </w:tc>
        <w:tc>
          <w:tcPr>
            <w:tcW w:w="1029" w:type="dxa"/>
            <w:vMerge w:val="restart"/>
            <w:tcBorders>
              <w:top w:val="nil"/>
              <w:left w:val="single" w:sz="8" w:space="0" w:color="E0E0E0"/>
              <w:bottom w:val="nil"/>
              <w:right w:val="single" w:sz="8" w:space="0" w:color="E0E0E0"/>
            </w:tcBorders>
            <w:shd w:val="clear" w:color="auto" w:fill="FFFFFF"/>
            <w:vAlign w:val="bottom"/>
          </w:tcPr>
          <w:p w:rsidR="00C9603E" w:rsidRPr="00F24CEC" w:rsidRDefault="00C9603E" w:rsidP="0096614F">
            <w:pPr>
              <w:autoSpaceDE w:val="0"/>
              <w:autoSpaceDN w:val="0"/>
              <w:adjustRightInd w:val="0"/>
              <w:ind w:left="60" w:right="60"/>
              <w:jc w:val="center"/>
              <w:rPr>
                <w:rFonts w:eastAsiaTheme="minorHAnsi"/>
                <w:sz w:val="18"/>
                <w:lang w:val="en-ID"/>
              </w:rPr>
            </w:pPr>
            <w:r w:rsidRPr="00F24CEC">
              <w:rPr>
                <w:rFonts w:eastAsiaTheme="minorHAnsi"/>
                <w:sz w:val="18"/>
                <w:lang w:val="en-ID"/>
              </w:rPr>
              <w:t>t</w:t>
            </w:r>
          </w:p>
        </w:tc>
        <w:tc>
          <w:tcPr>
            <w:tcW w:w="1029" w:type="dxa"/>
            <w:vMerge w:val="restart"/>
            <w:tcBorders>
              <w:top w:val="nil"/>
              <w:left w:val="single" w:sz="8" w:space="0" w:color="E0E0E0"/>
              <w:bottom w:val="nil"/>
              <w:right w:val="nil"/>
            </w:tcBorders>
            <w:shd w:val="clear" w:color="auto" w:fill="FFFFFF"/>
            <w:vAlign w:val="bottom"/>
          </w:tcPr>
          <w:p w:rsidR="00C9603E" w:rsidRPr="00F24CEC" w:rsidRDefault="00C9603E" w:rsidP="0096614F">
            <w:pPr>
              <w:autoSpaceDE w:val="0"/>
              <w:autoSpaceDN w:val="0"/>
              <w:adjustRightInd w:val="0"/>
              <w:ind w:left="60" w:right="60"/>
              <w:jc w:val="center"/>
              <w:rPr>
                <w:rFonts w:eastAsiaTheme="minorHAnsi"/>
                <w:sz w:val="18"/>
                <w:lang w:val="en-ID"/>
              </w:rPr>
            </w:pPr>
            <w:r w:rsidRPr="00F24CEC">
              <w:rPr>
                <w:rFonts w:eastAsiaTheme="minorHAnsi"/>
                <w:sz w:val="18"/>
                <w:lang w:val="en-ID"/>
              </w:rPr>
              <w:t>Sig.</w:t>
            </w:r>
          </w:p>
        </w:tc>
      </w:tr>
      <w:tr w:rsidR="00F24CEC" w:rsidRPr="00F24CEC" w:rsidTr="0096614F">
        <w:trPr>
          <w:cantSplit/>
        </w:trPr>
        <w:tc>
          <w:tcPr>
            <w:tcW w:w="1920" w:type="dxa"/>
            <w:gridSpan w:val="2"/>
            <w:vMerge/>
            <w:tcBorders>
              <w:top w:val="nil"/>
              <w:left w:val="nil"/>
              <w:bottom w:val="nil"/>
              <w:right w:val="nil"/>
            </w:tcBorders>
            <w:shd w:val="clear" w:color="auto" w:fill="FFFFFF"/>
            <w:vAlign w:val="bottom"/>
          </w:tcPr>
          <w:p w:rsidR="00C9603E" w:rsidRPr="00F24CEC" w:rsidRDefault="00C9603E" w:rsidP="0096614F">
            <w:pPr>
              <w:autoSpaceDE w:val="0"/>
              <w:autoSpaceDN w:val="0"/>
              <w:adjustRightInd w:val="0"/>
              <w:rPr>
                <w:rFonts w:eastAsiaTheme="minorHAnsi"/>
                <w:sz w:val="18"/>
                <w:lang w:val="en-ID"/>
              </w:rPr>
            </w:pPr>
          </w:p>
        </w:tc>
        <w:tc>
          <w:tcPr>
            <w:tcW w:w="1337" w:type="dxa"/>
            <w:tcBorders>
              <w:top w:val="nil"/>
              <w:left w:val="nil"/>
              <w:bottom w:val="single" w:sz="8" w:space="0" w:color="152935"/>
              <w:right w:val="single" w:sz="8" w:space="0" w:color="E0E0E0"/>
            </w:tcBorders>
            <w:shd w:val="clear" w:color="auto" w:fill="FFFFFF"/>
            <w:vAlign w:val="bottom"/>
          </w:tcPr>
          <w:p w:rsidR="00C9603E" w:rsidRPr="00F24CEC" w:rsidRDefault="00C9603E" w:rsidP="0096614F">
            <w:pPr>
              <w:autoSpaceDE w:val="0"/>
              <w:autoSpaceDN w:val="0"/>
              <w:adjustRightInd w:val="0"/>
              <w:ind w:left="60" w:right="60"/>
              <w:jc w:val="center"/>
              <w:rPr>
                <w:rFonts w:eastAsiaTheme="minorHAnsi"/>
                <w:sz w:val="18"/>
                <w:lang w:val="en-ID"/>
              </w:rPr>
            </w:pPr>
            <w:r w:rsidRPr="00F24CEC">
              <w:rPr>
                <w:rFonts w:eastAsiaTheme="minorHAnsi"/>
                <w:sz w:val="18"/>
                <w:lang w:val="en-ID"/>
              </w:rPr>
              <w:t>B</w:t>
            </w:r>
          </w:p>
        </w:tc>
        <w:tc>
          <w:tcPr>
            <w:tcW w:w="1337" w:type="dxa"/>
            <w:tcBorders>
              <w:top w:val="nil"/>
              <w:left w:val="single" w:sz="8" w:space="0" w:color="E0E0E0"/>
              <w:bottom w:val="single" w:sz="8" w:space="0" w:color="152935"/>
              <w:right w:val="single" w:sz="8" w:space="0" w:color="E0E0E0"/>
            </w:tcBorders>
            <w:shd w:val="clear" w:color="auto" w:fill="FFFFFF"/>
            <w:vAlign w:val="bottom"/>
          </w:tcPr>
          <w:p w:rsidR="00C9603E" w:rsidRPr="00F24CEC" w:rsidRDefault="00C9603E" w:rsidP="0096614F">
            <w:pPr>
              <w:autoSpaceDE w:val="0"/>
              <w:autoSpaceDN w:val="0"/>
              <w:adjustRightInd w:val="0"/>
              <w:ind w:left="60" w:right="60"/>
              <w:jc w:val="center"/>
              <w:rPr>
                <w:rFonts w:eastAsiaTheme="minorHAnsi"/>
                <w:sz w:val="18"/>
                <w:lang w:val="en-ID"/>
              </w:rPr>
            </w:pPr>
            <w:r w:rsidRPr="00F24CEC">
              <w:rPr>
                <w:rFonts w:eastAsiaTheme="minorHAnsi"/>
                <w:sz w:val="18"/>
                <w:lang w:val="en-ID"/>
              </w:rPr>
              <w:t>Std. Error</w:t>
            </w:r>
          </w:p>
        </w:tc>
        <w:tc>
          <w:tcPr>
            <w:tcW w:w="1475" w:type="dxa"/>
            <w:tcBorders>
              <w:top w:val="nil"/>
              <w:left w:val="single" w:sz="8" w:space="0" w:color="E0E0E0"/>
              <w:bottom w:val="single" w:sz="8" w:space="0" w:color="152935"/>
              <w:right w:val="single" w:sz="8" w:space="0" w:color="E0E0E0"/>
            </w:tcBorders>
            <w:shd w:val="clear" w:color="auto" w:fill="FFFFFF"/>
            <w:vAlign w:val="bottom"/>
          </w:tcPr>
          <w:p w:rsidR="00C9603E" w:rsidRPr="00F24CEC" w:rsidRDefault="00C9603E" w:rsidP="0096614F">
            <w:pPr>
              <w:autoSpaceDE w:val="0"/>
              <w:autoSpaceDN w:val="0"/>
              <w:adjustRightInd w:val="0"/>
              <w:ind w:left="60" w:right="60"/>
              <w:jc w:val="center"/>
              <w:rPr>
                <w:rFonts w:eastAsiaTheme="minorHAnsi"/>
                <w:sz w:val="18"/>
                <w:lang w:val="en-ID"/>
              </w:rPr>
            </w:pPr>
            <w:r w:rsidRPr="00F24CEC">
              <w:rPr>
                <w:rFonts w:eastAsiaTheme="minorHAnsi"/>
                <w:sz w:val="18"/>
                <w:lang w:val="en-ID"/>
              </w:rPr>
              <w:t>Beta</w:t>
            </w:r>
          </w:p>
        </w:tc>
        <w:tc>
          <w:tcPr>
            <w:tcW w:w="1029" w:type="dxa"/>
            <w:vMerge/>
            <w:tcBorders>
              <w:top w:val="nil"/>
              <w:left w:val="single" w:sz="8" w:space="0" w:color="E0E0E0"/>
              <w:bottom w:val="nil"/>
              <w:right w:val="single" w:sz="8" w:space="0" w:color="E0E0E0"/>
            </w:tcBorders>
            <w:shd w:val="clear" w:color="auto" w:fill="FFFFFF"/>
            <w:vAlign w:val="bottom"/>
          </w:tcPr>
          <w:p w:rsidR="00C9603E" w:rsidRPr="00F24CEC" w:rsidRDefault="00C9603E" w:rsidP="0096614F">
            <w:pPr>
              <w:autoSpaceDE w:val="0"/>
              <w:autoSpaceDN w:val="0"/>
              <w:adjustRightInd w:val="0"/>
              <w:rPr>
                <w:rFonts w:eastAsiaTheme="minorHAnsi"/>
                <w:sz w:val="18"/>
                <w:lang w:val="en-ID"/>
              </w:rPr>
            </w:pPr>
          </w:p>
        </w:tc>
        <w:tc>
          <w:tcPr>
            <w:tcW w:w="1029" w:type="dxa"/>
            <w:vMerge/>
            <w:tcBorders>
              <w:top w:val="nil"/>
              <w:left w:val="single" w:sz="8" w:space="0" w:color="E0E0E0"/>
              <w:bottom w:val="nil"/>
              <w:right w:val="nil"/>
            </w:tcBorders>
            <w:shd w:val="clear" w:color="auto" w:fill="FFFFFF"/>
            <w:vAlign w:val="bottom"/>
          </w:tcPr>
          <w:p w:rsidR="00C9603E" w:rsidRPr="00F24CEC" w:rsidRDefault="00C9603E" w:rsidP="0096614F">
            <w:pPr>
              <w:autoSpaceDE w:val="0"/>
              <w:autoSpaceDN w:val="0"/>
              <w:adjustRightInd w:val="0"/>
              <w:rPr>
                <w:rFonts w:eastAsiaTheme="minorHAnsi"/>
                <w:sz w:val="18"/>
                <w:lang w:val="en-ID"/>
              </w:rPr>
            </w:pPr>
          </w:p>
        </w:tc>
      </w:tr>
      <w:tr w:rsidR="00F24CEC" w:rsidRPr="00F24CEC" w:rsidTr="0096614F">
        <w:trPr>
          <w:cantSplit/>
        </w:trPr>
        <w:tc>
          <w:tcPr>
            <w:tcW w:w="737" w:type="dxa"/>
            <w:vMerge w:val="restart"/>
            <w:tcBorders>
              <w:top w:val="single" w:sz="8" w:space="0" w:color="152935"/>
              <w:left w:val="nil"/>
              <w:bottom w:val="single" w:sz="8" w:space="0" w:color="152935"/>
              <w:right w:val="nil"/>
            </w:tcBorders>
            <w:shd w:val="clear" w:color="auto" w:fill="E0E0E0"/>
          </w:tcPr>
          <w:p w:rsidR="00C9603E" w:rsidRPr="00F24CEC" w:rsidRDefault="00C9603E" w:rsidP="0096614F">
            <w:pPr>
              <w:autoSpaceDE w:val="0"/>
              <w:autoSpaceDN w:val="0"/>
              <w:adjustRightInd w:val="0"/>
              <w:ind w:left="60" w:right="60"/>
              <w:rPr>
                <w:rFonts w:eastAsiaTheme="minorHAnsi"/>
                <w:sz w:val="18"/>
                <w:lang w:val="en-ID"/>
              </w:rPr>
            </w:pPr>
            <w:r w:rsidRPr="00F24CEC">
              <w:rPr>
                <w:rFonts w:eastAsiaTheme="minorHAnsi"/>
                <w:sz w:val="18"/>
                <w:lang w:val="en-ID"/>
              </w:rPr>
              <w:t>1</w:t>
            </w:r>
          </w:p>
        </w:tc>
        <w:tc>
          <w:tcPr>
            <w:tcW w:w="1183" w:type="dxa"/>
            <w:tcBorders>
              <w:top w:val="single" w:sz="8" w:space="0" w:color="152935"/>
              <w:left w:val="nil"/>
              <w:bottom w:val="single" w:sz="8" w:space="0" w:color="AEAEAE"/>
              <w:right w:val="nil"/>
            </w:tcBorders>
            <w:shd w:val="clear" w:color="auto" w:fill="E0E0E0"/>
          </w:tcPr>
          <w:p w:rsidR="00C9603E" w:rsidRPr="00F24CEC" w:rsidRDefault="00C9603E" w:rsidP="0096614F">
            <w:pPr>
              <w:autoSpaceDE w:val="0"/>
              <w:autoSpaceDN w:val="0"/>
              <w:adjustRightInd w:val="0"/>
              <w:ind w:left="60" w:right="60"/>
              <w:rPr>
                <w:rFonts w:eastAsiaTheme="minorHAnsi"/>
                <w:sz w:val="18"/>
                <w:lang w:val="en-ID"/>
              </w:rPr>
            </w:pPr>
            <w:r w:rsidRPr="00F24CEC">
              <w:rPr>
                <w:rFonts w:eastAsiaTheme="minorHAnsi"/>
                <w:sz w:val="18"/>
                <w:lang w:val="en-ID"/>
              </w:rPr>
              <w:t>(Constant)</w:t>
            </w:r>
          </w:p>
        </w:tc>
        <w:tc>
          <w:tcPr>
            <w:tcW w:w="1337" w:type="dxa"/>
            <w:tcBorders>
              <w:top w:val="single" w:sz="8" w:space="0" w:color="152935"/>
              <w:left w:val="nil"/>
              <w:bottom w:val="single" w:sz="8" w:space="0" w:color="AEAEAE"/>
              <w:right w:val="single" w:sz="8" w:space="0" w:color="E0E0E0"/>
            </w:tcBorders>
            <w:shd w:val="clear" w:color="auto" w:fill="FFFFFF"/>
          </w:tcPr>
          <w:p w:rsidR="00C9603E" w:rsidRPr="00F24CEC" w:rsidRDefault="00C9603E" w:rsidP="0096614F">
            <w:pPr>
              <w:autoSpaceDE w:val="0"/>
              <w:autoSpaceDN w:val="0"/>
              <w:adjustRightInd w:val="0"/>
              <w:ind w:left="60" w:right="60"/>
              <w:jc w:val="right"/>
              <w:rPr>
                <w:rFonts w:eastAsiaTheme="minorHAnsi"/>
                <w:sz w:val="18"/>
                <w:lang w:val="en-ID"/>
              </w:rPr>
            </w:pPr>
            <w:r w:rsidRPr="00F24CEC">
              <w:rPr>
                <w:rFonts w:eastAsiaTheme="minorHAnsi"/>
                <w:sz w:val="18"/>
                <w:lang w:val="en-ID"/>
              </w:rPr>
              <w:t>46204.001</w:t>
            </w:r>
          </w:p>
        </w:tc>
        <w:tc>
          <w:tcPr>
            <w:tcW w:w="1337" w:type="dxa"/>
            <w:tcBorders>
              <w:top w:val="single" w:sz="8" w:space="0" w:color="152935"/>
              <w:left w:val="single" w:sz="8" w:space="0" w:color="E0E0E0"/>
              <w:bottom w:val="single" w:sz="8" w:space="0" w:color="AEAEAE"/>
              <w:right w:val="single" w:sz="8" w:space="0" w:color="E0E0E0"/>
            </w:tcBorders>
            <w:shd w:val="clear" w:color="auto" w:fill="FFFFFF"/>
          </w:tcPr>
          <w:p w:rsidR="00C9603E" w:rsidRPr="00F24CEC" w:rsidRDefault="00C9603E" w:rsidP="0096614F">
            <w:pPr>
              <w:autoSpaceDE w:val="0"/>
              <w:autoSpaceDN w:val="0"/>
              <w:adjustRightInd w:val="0"/>
              <w:ind w:left="60" w:right="60"/>
              <w:jc w:val="right"/>
              <w:rPr>
                <w:rFonts w:eastAsiaTheme="minorHAnsi"/>
                <w:sz w:val="18"/>
                <w:lang w:val="en-ID"/>
              </w:rPr>
            </w:pPr>
            <w:r w:rsidRPr="00F24CEC">
              <w:rPr>
                <w:rFonts w:eastAsiaTheme="minorHAnsi"/>
                <w:sz w:val="18"/>
                <w:lang w:val="en-ID"/>
              </w:rPr>
              <w:t>10361.506</w:t>
            </w:r>
          </w:p>
        </w:tc>
        <w:tc>
          <w:tcPr>
            <w:tcW w:w="1475"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C9603E" w:rsidRPr="00F24CEC" w:rsidRDefault="00C9603E" w:rsidP="0096614F">
            <w:pPr>
              <w:autoSpaceDE w:val="0"/>
              <w:autoSpaceDN w:val="0"/>
              <w:adjustRightInd w:val="0"/>
              <w:rPr>
                <w:rFonts w:eastAsiaTheme="minorHAnsi"/>
                <w:sz w:val="18"/>
                <w:lang w:val="en-ID"/>
              </w:rPr>
            </w:pP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C9603E" w:rsidRPr="00F24CEC" w:rsidRDefault="00C9603E" w:rsidP="0096614F">
            <w:pPr>
              <w:autoSpaceDE w:val="0"/>
              <w:autoSpaceDN w:val="0"/>
              <w:adjustRightInd w:val="0"/>
              <w:ind w:left="60" w:right="60"/>
              <w:jc w:val="right"/>
              <w:rPr>
                <w:rFonts w:eastAsiaTheme="minorHAnsi"/>
                <w:sz w:val="18"/>
                <w:lang w:val="en-ID"/>
              </w:rPr>
            </w:pPr>
            <w:r w:rsidRPr="00F24CEC">
              <w:rPr>
                <w:rFonts w:eastAsiaTheme="minorHAnsi"/>
                <w:sz w:val="18"/>
                <w:lang w:val="en-ID"/>
              </w:rPr>
              <w:t>4,459</w:t>
            </w:r>
          </w:p>
        </w:tc>
        <w:tc>
          <w:tcPr>
            <w:tcW w:w="1029" w:type="dxa"/>
            <w:tcBorders>
              <w:top w:val="single" w:sz="8" w:space="0" w:color="152935"/>
              <w:left w:val="single" w:sz="8" w:space="0" w:color="E0E0E0"/>
              <w:bottom w:val="single" w:sz="8" w:space="0" w:color="AEAEAE"/>
              <w:right w:val="nil"/>
            </w:tcBorders>
            <w:shd w:val="clear" w:color="auto" w:fill="FFFFFF"/>
          </w:tcPr>
          <w:p w:rsidR="00C9603E" w:rsidRPr="00F24CEC" w:rsidRDefault="00C9603E" w:rsidP="0096614F">
            <w:pPr>
              <w:autoSpaceDE w:val="0"/>
              <w:autoSpaceDN w:val="0"/>
              <w:adjustRightInd w:val="0"/>
              <w:ind w:left="60" w:right="60"/>
              <w:jc w:val="right"/>
              <w:rPr>
                <w:rFonts w:eastAsiaTheme="minorHAnsi"/>
                <w:sz w:val="18"/>
                <w:lang w:val="en-ID"/>
              </w:rPr>
            </w:pPr>
            <w:r w:rsidRPr="00F24CEC">
              <w:rPr>
                <w:rFonts w:eastAsiaTheme="minorHAnsi"/>
                <w:sz w:val="18"/>
                <w:lang w:val="en-ID"/>
              </w:rPr>
              <w:t>,003</w:t>
            </w:r>
          </w:p>
        </w:tc>
      </w:tr>
      <w:tr w:rsidR="00F24CEC" w:rsidRPr="00F24CEC" w:rsidTr="0096614F">
        <w:trPr>
          <w:cantSplit/>
        </w:trPr>
        <w:tc>
          <w:tcPr>
            <w:tcW w:w="737" w:type="dxa"/>
            <w:vMerge/>
            <w:tcBorders>
              <w:top w:val="single" w:sz="8" w:space="0" w:color="152935"/>
              <w:left w:val="nil"/>
              <w:bottom w:val="single" w:sz="8" w:space="0" w:color="152935"/>
              <w:right w:val="nil"/>
            </w:tcBorders>
            <w:shd w:val="clear" w:color="auto" w:fill="E0E0E0"/>
          </w:tcPr>
          <w:p w:rsidR="00C9603E" w:rsidRPr="00F24CEC" w:rsidRDefault="00C9603E" w:rsidP="0096614F">
            <w:pPr>
              <w:autoSpaceDE w:val="0"/>
              <w:autoSpaceDN w:val="0"/>
              <w:adjustRightInd w:val="0"/>
              <w:rPr>
                <w:rFonts w:eastAsiaTheme="minorHAnsi"/>
                <w:sz w:val="18"/>
                <w:lang w:val="en-ID"/>
              </w:rPr>
            </w:pPr>
          </w:p>
        </w:tc>
        <w:tc>
          <w:tcPr>
            <w:tcW w:w="1183" w:type="dxa"/>
            <w:tcBorders>
              <w:top w:val="single" w:sz="8" w:space="0" w:color="AEAEAE"/>
              <w:left w:val="nil"/>
              <w:bottom w:val="single" w:sz="8" w:space="0" w:color="AEAEAE"/>
              <w:right w:val="nil"/>
            </w:tcBorders>
            <w:shd w:val="clear" w:color="auto" w:fill="E0E0E0"/>
          </w:tcPr>
          <w:p w:rsidR="00C9603E" w:rsidRPr="00F24CEC" w:rsidRDefault="00C9603E" w:rsidP="0096614F">
            <w:pPr>
              <w:autoSpaceDE w:val="0"/>
              <w:autoSpaceDN w:val="0"/>
              <w:adjustRightInd w:val="0"/>
              <w:ind w:left="60" w:right="60"/>
              <w:rPr>
                <w:rFonts w:eastAsiaTheme="minorHAnsi"/>
                <w:sz w:val="18"/>
                <w:lang w:val="en-ID"/>
              </w:rPr>
            </w:pPr>
            <w:r w:rsidRPr="00F24CEC">
              <w:rPr>
                <w:rFonts w:eastAsiaTheme="minorHAnsi"/>
                <w:sz w:val="18"/>
                <w:lang w:val="en-ID"/>
              </w:rPr>
              <w:t>ICSR(X1)</w:t>
            </w:r>
          </w:p>
        </w:tc>
        <w:tc>
          <w:tcPr>
            <w:tcW w:w="1337" w:type="dxa"/>
            <w:tcBorders>
              <w:top w:val="single" w:sz="8" w:space="0" w:color="AEAEAE"/>
              <w:left w:val="nil"/>
              <w:bottom w:val="single" w:sz="8" w:space="0" w:color="AEAEAE"/>
              <w:right w:val="single" w:sz="8" w:space="0" w:color="E0E0E0"/>
            </w:tcBorders>
            <w:shd w:val="clear" w:color="auto" w:fill="FFFFFF"/>
          </w:tcPr>
          <w:p w:rsidR="00C9603E" w:rsidRPr="00F24CEC" w:rsidRDefault="00C9603E" w:rsidP="0096614F">
            <w:pPr>
              <w:autoSpaceDE w:val="0"/>
              <w:autoSpaceDN w:val="0"/>
              <w:adjustRightInd w:val="0"/>
              <w:ind w:left="60" w:right="60"/>
              <w:jc w:val="right"/>
              <w:rPr>
                <w:rFonts w:eastAsiaTheme="minorHAnsi"/>
                <w:sz w:val="18"/>
                <w:lang w:val="en-ID"/>
              </w:rPr>
            </w:pPr>
            <w:r w:rsidRPr="00F24CEC">
              <w:rPr>
                <w:rFonts w:eastAsiaTheme="minorHAnsi"/>
                <w:sz w:val="18"/>
                <w:lang w:val="en-ID"/>
              </w:rPr>
              <w:t>-17,466</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rsidR="00C9603E" w:rsidRPr="00F24CEC" w:rsidRDefault="00C9603E" w:rsidP="0096614F">
            <w:pPr>
              <w:autoSpaceDE w:val="0"/>
              <w:autoSpaceDN w:val="0"/>
              <w:adjustRightInd w:val="0"/>
              <w:ind w:left="60" w:right="60"/>
              <w:jc w:val="right"/>
              <w:rPr>
                <w:rFonts w:eastAsiaTheme="minorHAnsi"/>
                <w:sz w:val="18"/>
                <w:lang w:val="en-ID"/>
              </w:rPr>
            </w:pPr>
            <w:r w:rsidRPr="00F24CEC">
              <w:rPr>
                <w:rFonts w:eastAsiaTheme="minorHAnsi"/>
                <w:sz w:val="18"/>
                <w:lang w:val="en-ID"/>
              </w:rPr>
              <w:t>21,429</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C9603E" w:rsidRPr="00F24CEC" w:rsidRDefault="00C9603E" w:rsidP="0096614F">
            <w:pPr>
              <w:autoSpaceDE w:val="0"/>
              <w:autoSpaceDN w:val="0"/>
              <w:adjustRightInd w:val="0"/>
              <w:ind w:left="60" w:right="60"/>
              <w:jc w:val="right"/>
              <w:rPr>
                <w:rFonts w:eastAsiaTheme="minorHAnsi"/>
                <w:sz w:val="18"/>
                <w:lang w:val="en-ID"/>
              </w:rPr>
            </w:pPr>
            <w:r w:rsidRPr="00F24CEC">
              <w:rPr>
                <w:rFonts w:eastAsiaTheme="minorHAnsi"/>
                <w:sz w:val="18"/>
                <w:lang w:val="en-ID"/>
              </w:rPr>
              <w:t>-.261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C9603E" w:rsidRPr="00F24CEC" w:rsidRDefault="00C9603E" w:rsidP="0096614F">
            <w:pPr>
              <w:autoSpaceDE w:val="0"/>
              <w:autoSpaceDN w:val="0"/>
              <w:adjustRightInd w:val="0"/>
              <w:ind w:left="60" w:right="60"/>
              <w:jc w:val="right"/>
              <w:rPr>
                <w:rFonts w:eastAsiaTheme="minorHAnsi"/>
                <w:sz w:val="18"/>
                <w:lang w:val="en-ID"/>
              </w:rPr>
            </w:pPr>
            <w:r w:rsidRPr="00F24CEC">
              <w:rPr>
                <w:rFonts w:eastAsiaTheme="minorHAnsi"/>
                <w:sz w:val="18"/>
                <w:lang w:val="en-ID"/>
              </w:rPr>
              <w:t>-.815</w:t>
            </w:r>
          </w:p>
        </w:tc>
        <w:tc>
          <w:tcPr>
            <w:tcW w:w="1029" w:type="dxa"/>
            <w:tcBorders>
              <w:top w:val="single" w:sz="8" w:space="0" w:color="AEAEAE"/>
              <w:left w:val="single" w:sz="8" w:space="0" w:color="E0E0E0"/>
              <w:bottom w:val="single" w:sz="8" w:space="0" w:color="AEAEAE"/>
              <w:right w:val="nil"/>
            </w:tcBorders>
            <w:shd w:val="clear" w:color="auto" w:fill="FFFFFF"/>
          </w:tcPr>
          <w:p w:rsidR="00C9603E" w:rsidRPr="00F24CEC" w:rsidRDefault="00C9603E" w:rsidP="0096614F">
            <w:pPr>
              <w:autoSpaceDE w:val="0"/>
              <w:autoSpaceDN w:val="0"/>
              <w:adjustRightInd w:val="0"/>
              <w:ind w:left="60" w:right="60"/>
              <w:jc w:val="right"/>
              <w:rPr>
                <w:rFonts w:eastAsiaTheme="minorHAnsi"/>
                <w:sz w:val="18"/>
                <w:lang w:val="en-ID"/>
              </w:rPr>
            </w:pPr>
            <w:r w:rsidRPr="00F24CEC">
              <w:rPr>
                <w:rFonts w:eastAsiaTheme="minorHAnsi"/>
                <w:sz w:val="18"/>
                <w:lang w:val="en-ID"/>
              </w:rPr>
              <w:t>,442</w:t>
            </w:r>
          </w:p>
        </w:tc>
      </w:tr>
      <w:tr w:rsidR="00F24CEC" w:rsidRPr="00F24CEC" w:rsidTr="0096614F">
        <w:trPr>
          <w:cantSplit/>
        </w:trPr>
        <w:tc>
          <w:tcPr>
            <w:tcW w:w="737" w:type="dxa"/>
            <w:vMerge/>
            <w:tcBorders>
              <w:top w:val="single" w:sz="8" w:space="0" w:color="152935"/>
              <w:left w:val="nil"/>
              <w:bottom w:val="single" w:sz="8" w:space="0" w:color="152935"/>
              <w:right w:val="nil"/>
            </w:tcBorders>
            <w:shd w:val="clear" w:color="auto" w:fill="E0E0E0"/>
          </w:tcPr>
          <w:p w:rsidR="00C9603E" w:rsidRPr="00F24CEC" w:rsidRDefault="00C9603E" w:rsidP="0096614F">
            <w:pPr>
              <w:autoSpaceDE w:val="0"/>
              <w:autoSpaceDN w:val="0"/>
              <w:adjustRightInd w:val="0"/>
              <w:rPr>
                <w:rFonts w:eastAsiaTheme="minorHAnsi"/>
                <w:sz w:val="18"/>
                <w:lang w:val="en-ID"/>
              </w:rPr>
            </w:pPr>
          </w:p>
        </w:tc>
        <w:tc>
          <w:tcPr>
            <w:tcW w:w="1183" w:type="dxa"/>
            <w:tcBorders>
              <w:top w:val="single" w:sz="8" w:space="0" w:color="AEAEAE"/>
              <w:left w:val="nil"/>
              <w:bottom w:val="single" w:sz="8" w:space="0" w:color="AEAEAE"/>
              <w:right w:val="nil"/>
            </w:tcBorders>
            <w:shd w:val="clear" w:color="auto" w:fill="E0E0E0"/>
          </w:tcPr>
          <w:p w:rsidR="00C9603E" w:rsidRPr="00F24CEC" w:rsidRDefault="00C9603E" w:rsidP="0096614F">
            <w:pPr>
              <w:autoSpaceDE w:val="0"/>
              <w:autoSpaceDN w:val="0"/>
              <w:adjustRightInd w:val="0"/>
              <w:ind w:left="60" w:right="60"/>
              <w:rPr>
                <w:rFonts w:eastAsiaTheme="minorHAnsi"/>
                <w:sz w:val="18"/>
                <w:lang w:val="en-ID"/>
              </w:rPr>
            </w:pPr>
            <w:r w:rsidRPr="00F24CEC">
              <w:rPr>
                <w:rFonts w:eastAsiaTheme="minorHAnsi"/>
                <w:sz w:val="18"/>
                <w:lang w:val="en-ID"/>
              </w:rPr>
              <w:t>ZPR(X2)</w:t>
            </w:r>
          </w:p>
        </w:tc>
        <w:tc>
          <w:tcPr>
            <w:tcW w:w="1337" w:type="dxa"/>
            <w:tcBorders>
              <w:top w:val="single" w:sz="8" w:space="0" w:color="AEAEAE"/>
              <w:left w:val="nil"/>
              <w:bottom w:val="single" w:sz="8" w:space="0" w:color="AEAEAE"/>
              <w:right w:val="single" w:sz="8" w:space="0" w:color="E0E0E0"/>
            </w:tcBorders>
            <w:shd w:val="clear" w:color="auto" w:fill="FFFFFF"/>
          </w:tcPr>
          <w:p w:rsidR="00C9603E" w:rsidRPr="00F24CEC" w:rsidRDefault="00C9603E" w:rsidP="0096614F">
            <w:pPr>
              <w:autoSpaceDE w:val="0"/>
              <w:autoSpaceDN w:val="0"/>
              <w:adjustRightInd w:val="0"/>
              <w:ind w:left="60" w:right="60"/>
              <w:jc w:val="right"/>
              <w:rPr>
                <w:rFonts w:eastAsiaTheme="minorHAnsi"/>
                <w:sz w:val="18"/>
                <w:lang w:val="en-ID"/>
              </w:rPr>
            </w:pPr>
            <w:r w:rsidRPr="00F24CEC">
              <w:rPr>
                <w:rFonts w:eastAsiaTheme="minorHAnsi"/>
                <w:sz w:val="18"/>
                <w:lang w:val="en-ID"/>
              </w:rPr>
              <w:t>5,815</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rsidR="00C9603E" w:rsidRPr="00F24CEC" w:rsidRDefault="00C9603E" w:rsidP="0096614F">
            <w:pPr>
              <w:autoSpaceDE w:val="0"/>
              <w:autoSpaceDN w:val="0"/>
              <w:adjustRightInd w:val="0"/>
              <w:ind w:left="60" w:right="60"/>
              <w:jc w:val="right"/>
              <w:rPr>
                <w:rFonts w:eastAsiaTheme="minorHAnsi"/>
                <w:sz w:val="18"/>
                <w:lang w:val="en-ID"/>
              </w:rPr>
            </w:pPr>
            <w:r w:rsidRPr="00F24CEC">
              <w:rPr>
                <w:rFonts w:eastAsiaTheme="minorHAnsi"/>
                <w:sz w:val="18"/>
                <w:lang w:val="en-ID"/>
              </w:rPr>
              <w:t>1,170</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C9603E" w:rsidRPr="00F24CEC" w:rsidRDefault="00C9603E" w:rsidP="0096614F">
            <w:pPr>
              <w:autoSpaceDE w:val="0"/>
              <w:autoSpaceDN w:val="0"/>
              <w:adjustRightInd w:val="0"/>
              <w:ind w:left="60" w:right="60"/>
              <w:jc w:val="right"/>
              <w:rPr>
                <w:rFonts w:eastAsiaTheme="minorHAnsi"/>
                <w:sz w:val="18"/>
                <w:lang w:val="en-ID"/>
              </w:rPr>
            </w:pPr>
            <w:r w:rsidRPr="00F24CEC">
              <w:rPr>
                <w:rFonts w:eastAsiaTheme="minorHAnsi"/>
                <w:sz w:val="18"/>
                <w:lang w:val="en-ID"/>
              </w:rPr>
              <w:t>1,119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C9603E" w:rsidRPr="00F24CEC" w:rsidRDefault="00C9603E" w:rsidP="0096614F">
            <w:pPr>
              <w:autoSpaceDE w:val="0"/>
              <w:autoSpaceDN w:val="0"/>
              <w:adjustRightInd w:val="0"/>
              <w:ind w:left="60" w:right="60"/>
              <w:jc w:val="right"/>
              <w:rPr>
                <w:rFonts w:eastAsiaTheme="minorHAnsi"/>
                <w:sz w:val="18"/>
                <w:lang w:val="en-ID"/>
              </w:rPr>
            </w:pPr>
            <w:r w:rsidRPr="00F24CEC">
              <w:rPr>
                <w:rFonts w:eastAsiaTheme="minorHAnsi"/>
                <w:sz w:val="18"/>
                <w:lang w:val="en-ID"/>
              </w:rPr>
              <w:t>4,969</w:t>
            </w:r>
          </w:p>
        </w:tc>
        <w:tc>
          <w:tcPr>
            <w:tcW w:w="1029" w:type="dxa"/>
            <w:tcBorders>
              <w:top w:val="single" w:sz="8" w:space="0" w:color="AEAEAE"/>
              <w:left w:val="single" w:sz="8" w:space="0" w:color="E0E0E0"/>
              <w:bottom w:val="single" w:sz="8" w:space="0" w:color="AEAEAE"/>
              <w:right w:val="nil"/>
            </w:tcBorders>
            <w:shd w:val="clear" w:color="auto" w:fill="FFFFFF"/>
          </w:tcPr>
          <w:p w:rsidR="00C9603E" w:rsidRPr="00F24CEC" w:rsidRDefault="00C9603E" w:rsidP="0096614F">
            <w:pPr>
              <w:autoSpaceDE w:val="0"/>
              <w:autoSpaceDN w:val="0"/>
              <w:adjustRightInd w:val="0"/>
              <w:ind w:left="60" w:right="60"/>
              <w:jc w:val="right"/>
              <w:rPr>
                <w:rFonts w:eastAsiaTheme="minorHAnsi"/>
                <w:sz w:val="18"/>
                <w:lang w:val="en-ID"/>
              </w:rPr>
            </w:pPr>
            <w:r w:rsidRPr="00F24CEC">
              <w:rPr>
                <w:rFonts w:eastAsiaTheme="minorHAnsi"/>
                <w:sz w:val="18"/>
                <w:lang w:val="en-ID"/>
              </w:rPr>
              <w:t>,002</w:t>
            </w:r>
          </w:p>
        </w:tc>
      </w:tr>
      <w:tr w:rsidR="00F24CEC" w:rsidRPr="00F24CEC" w:rsidTr="0096614F">
        <w:trPr>
          <w:cantSplit/>
        </w:trPr>
        <w:tc>
          <w:tcPr>
            <w:tcW w:w="737" w:type="dxa"/>
            <w:vMerge/>
            <w:tcBorders>
              <w:top w:val="single" w:sz="8" w:space="0" w:color="152935"/>
              <w:left w:val="nil"/>
              <w:bottom w:val="single" w:sz="8" w:space="0" w:color="152935"/>
              <w:right w:val="nil"/>
            </w:tcBorders>
            <w:shd w:val="clear" w:color="auto" w:fill="E0E0E0"/>
          </w:tcPr>
          <w:p w:rsidR="00C9603E" w:rsidRPr="00F24CEC" w:rsidRDefault="00C9603E" w:rsidP="0096614F">
            <w:pPr>
              <w:autoSpaceDE w:val="0"/>
              <w:autoSpaceDN w:val="0"/>
              <w:adjustRightInd w:val="0"/>
              <w:rPr>
                <w:rFonts w:eastAsiaTheme="minorHAnsi"/>
                <w:sz w:val="18"/>
                <w:lang w:val="en-ID"/>
              </w:rPr>
            </w:pPr>
          </w:p>
        </w:tc>
        <w:tc>
          <w:tcPr>
            <w:tcW w:w="1183" w:type="dxa"/>
            <w:tcBorders>
              <w:top w:val="single" w:sz="8" w:space="0" w:color="AEAEAE"/>
              <w:left w:val="nil"/>
              <w:bottom w:val="single" w:sz="8" w:space="0" w:color="152935"/>
              <w:right w:val="nil"/>
            </w:tcBorders>
            <w:shd w:val="clear" w:color="auto" w:fill="E0E0E0"/>
          </w:tcPr>
          <w:p w:rsidR="00C9603E" w:rsidRPr="00F24CEC" w:rsidRDefault="00C9603E" w:rsidP="0096614F">
            <w:pPr>
              <w:autoSpaceDE w:val="0"/>
              <w:autoSpaceDN w:val="0"/>
              <w:adjustRightInd w:val="0"/>
              <w:ind w:left="60" w:right="60"/>
              <w:rPr>
                <w:rFonts w:eastAsiaTheme="minorHAnsi"/>
                <w:sz w:val="18"/>
                <w:lang w:val="en-ID"/>
              </w:rPr>
            </w:pPr>
            <w:r w:rsidRPr="00F24CEC">
              <w:rPr>
                <w:rFonts w:eastAsiaTheme="minorHAnsi"/>
                <w:sz w:val="18"/>
                <w:lang w:val="en-ID"/>
              </w:rPr>
              <w:t>PSR(X3)</w:t>
            </w:r>
          </w:p>
        </w:tc>
        <w:tc>
          <w:tcPr>
            <w:tcW w:w="1337" w:type="dxa"/>
            <w:tcBorders>
              <w:top w:val="single" w:sz="8" w:space="0" w:color="AEAEAE"/>
              <w:left w:val="nil"/>
              <w:bottom w:val="single" w:sz="8" w:space="0" w:color="152935"/>
              <w:right w:val="single" w:sz="8" w:space="0" w:color="E0E0E0"/>
            </w:tcBorders>
            <w:shd w:val="clear" w:color="auto" w:fill="FFFFFF"/>
          </w:tcPr>
          <w:p w:rsidR="00C9603E" w:rsidRPr="00F24CEC" w:rsidRDefault="00C9603E" w:rsidP="0096614F">
            <w:pPr>
              <w:autoSpaceDE w:val="0"/>
              <w:autoSpaceDN w:val="0"/>
              <w:adjustRightInd w:val="0"/>
              <w:ind w:left="60" w:right="60"/>
              <w:jc w:val="right"/>
              <w:rPr>
                <w:rFonts w:eastAsiaTheme="minorHAnsi"/>
                <w:sz w:val="18"/>
                <w:lang w:val="en-ID"/>
              </w:rPr>
            </w:pPr>
            <w:r w:rsidRPr="00F24CEC">
              <w:rPr>
                <w:rFonts w:eastAsiaTheme="minorHAnsi"/>
                <w:sz w:val="18"/>
                <w:lang w:val="en-ID"/>
              </w:rPr>
              <w:t>-6,473</w:t>
            </w:r>
          </w:p>
        </w:tc>
        <w:tc>
          <w:tcPr>
            <w:tcW w:w="1337" w:type="dxa"/>
            <w:tcBorders>
              <w:top w:val="single" w:sz="8" w:space="0" w:color="AEAEAE"/>
              <w:left w:val="single" w:sz="8" w:space="0" w:color="E0E0E0"/>
              <w:bottom w:val="single" w:sz="8" w:space="0" w:color="152935"/>
              <w:right w:val="single" w:sz="8" w:space="0" w:color="E0E0E0"/>
            </w:tcBorders>
            <w:shd w:val="clear" w:color="auto" w:fill="FFFFFF"/>
          </w:tcPr>
          <w:p w:rsidR="00C9603E" w:rsidRPr="00F24CEC" w:rsidRDefault="00C9603E" w:rsidP="0096614F">
            <w:pPr>
              <w:autoSpaceDE w:val="0"/>
              <w:autoSpaceDN w:val="0"/>
              <w:adjustRightInd w:val="0"/>
              <w:ind w:left="60" w:right="60"/>
              <w:jc w:val="right"/>
              <w:rPr>
                <w:rFonts w:eastAsiaTheme="minorHAnsi"/>
                <w:sz w:val="18"/>
                <w:lang w:val="en-ID"/>
              </w:rPr>
            </w:pPr>
            <w:r w:rsidRPr="00F24CEC">
              <w:rPr>
                <w:rFonts w:eastAsiaTheme="minorHAnsi"/>
                <w:sz w:val="18"/>
                <w:lang w:val="en-ID"/>
              </w:rPr>
              <w:t>16,891</w:t>
            </w:r>
          </w:p>
        </w:tc>
        <w:tc>
          <w:tcPr>
            <w:tcW w:w="1475" w:type="dxa"/>
            <w:tcBorders>
              <w:top w:val="single" w:sz="8" w:space="0" w:color="AEAEAE"/>
              <w:left w:val="single" w:sz="8" w:space="0" w:color="E0E0E0"/>
              <w:bottom w:val="single" w:sz="8" w:space="0" w:color="152935"/>
              <w:right w:val="single" w:sz="8" w:space="0" w:color="E0E0E0"/>
            </w:tcBorders>
            <w:shd w:val="clear" w:color="auto" w:fill="FFFFFF"/>
          </w:tcPr>
          <w:p w:rsidR="00C9603E" w:rsidRPr="00F24CEC" w:rsidRDefault="00C9603E" w:rsidP="0096614F">
            <w:pPr>
              <w:autoSpaceDE w:val="0"/>
              <w:autoSpaceDN w:val="0"/>
              <w:adjustRightInd w:val="0"/>
              <w:ind w:left="60" w:right="60"/>
              <w:jc w:val="right"/>
              <w:rPr>
                <w:rFonts w:eastAsiaTheme="minorHAnsi"/>
                <w:sz w:val="18"/>
                <w:lang w:val="en-ID"/>
              </w:rPr>
            </w:pPr>
            <w:r w:rsidRPr="00F24CEC">
              <w:rPr>
                <w:rFonts w:eastAsiaTheme="minorHAnsi"/>
                <w:sz w:val="18"/>
                <w:lang w:val="en-ID"/>
              </w:rPr>
              <w:t>-.087</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C9603E" w:rsidRPr="00F24CEC" w:rsidRDefault="00C9603E" w:rsidP="0096614F">
            <w:pPr>
              <w:autoSpaceDE w:val="0"/>
              <w:autoSpaceDN w:val="0"/>
              <w:adjustRightInd w:val="0"/>
              <w:ind w:left="60" w:right="60"/>
              <w:jc w:val="right"/>
              <w:rPr>
                <w:rFonts w:eastAsiaTheme="minorHAnsi"/>
                <w:sz w:val="18"/>
                <w:lang w:val="en-ID"/>
              </w:rPr>
            </w:pPr>
            <w:r w:rsidRPr="00F24CEC">
              <w:rPr>
                <w:rFonts w:eastAsiaTheme="minorHAnsi"/>
                <w:sz w:val="18"/>
                <w:lang w:val="en-ID"/>
              </w:rPr>
              <w:t>-.383</w:t>
            </w:r>
          </w:p>
        </w:tc>
        <w:tc>
          <w:tcPr>
            <w:tcW w:w="1029" w:type="dxa"/>
            <w:tcBorders>
              <w:top w:val="single" w:sz="8" w:space="0" w:color="AEAEAE"/>
              <w:left w:val="single" w:sz="8" w:space="0" w:color="E0E0E0"/>
              <w:bottom w:val="single" w:sz="8" w:space="0" w:color="152935"/>
              <w:right w:val="nil"/>
            </w:tcBorders>
            <w:shd w:val="clear" w:color="auto" w:fill="FFFFFF"/>
          </w:tcPr>
          <w:p w:rsidR="00C9603E" w:rsidRPr="00F24CEC" w:rsidRDefault="00C9603E" w:rsidP="0096614F">
            <w:pPr>
              <w:autoSpaceDE w:val="0"/>
              <w:autoSpaceDN w:val="0"/>
              <w:adjustRightInd w:val="0"/>
              <w:ind w:left="60" w:right="60"/>
              <w:jc w:val="right"/>
              <w:rPr>
                <w:rFonts w:eastAsiaTheme="minorHAnsi"/>
                <w:sz w:val="18"/>
                <w:lang w:val="en-ID"/>
              </w:rPr>
            </w:pPr>
            <w:r w:rsidRPr="00F24CEC">
              <w:rPr>
                <w:rFonts w:eastAsiaTheme="minorHAnsi"/>
                <w:sz w:val="18"/>
                <w:lang w:val="en-ID"/>
              </w:rPr>
              <w:t>,713</w:t>
            </w:r>
          </w:p>
        </w:tc>
      </w:tr>
      <w:tr w:rsidR="00F24CEC" w:rsidRPr="00F24CEC" w:rsidTr="0096614F">
        <w:trPr>
          <w:cantSplit/>
        </w:trPr>
        <w:tc>
          <w:tcPr>
            <w:tcW w:w="8127" w:type="dxa"/>
            <w:gridSpan w:val="7"/>
            <w:tcBorders>
              <w:top w:val="nil"/>
              <w:left w:val="nil"/>
              <w:bottom w:val="nil"/>
              <w:right w:val="nil"/>
            </w:tcBorders>
            <w:shd w:val="clear" w:color="auto" w:fill="FFFFFF"/>
          </w:tcPr>
          <w:p w:rsidR="00C9603E" w:rsidRPr="00F24CEC" w:rsidRDefault="00C9603E" w:rsidP="0096614F">
            <w:pPr>
              <w:autoSpaceDE w:val="0"/>
              <w:autoSpaceDN w:val="0"/>
              <w:adjustRightInd w:val="0"/>
              <w:ind w:left="60" w:right="60"/>
              <w:rPr>
                <w:rFonts w:eastAsiaTheme="minorHAnsi"/>
                <w:sz w:val="18"/>
                <w:lang w:val="en-ID"/>
              </w:rPr>
            </w:pPr>
            <w:r w:rsidRPr="00F24CEC">
              <w:rPr>
                <w:rFonts w:eastAsiaTheme="minorHAnsi"/>
                <w:sz w:val="18"/>
                <w:lang w:val="en-ID"/>
              </w:rPr>
              <w:t>a. Dependent Variable: Y</w:t>
            </w:r>
          </w:p>
        </w:tc>
      </w:tr>
    </w:tbl>
    <w:p w:rsidR="00C9603E" w:rsidRPr="00F24CEC" w:rsidRDefault="00C9603E" w:rsidP="00C9603E">
      <w:pPr>
        <w:ind w:firstLine="557"/>
      </w:pPr>
      <w:r w:rsidRPr="00F24CEC">
        <w:t>In the results of the partial significance test using the T test in the regression model, we can see the influence of the independent variables (X1, X2, and X3) on the dependent variable (Y). The following is an explanation for each variable given:</w:t>
      </w:r>
    </w:p>
    <w:p w:rsidR="00C9603E" w:rsidRPr="00F24CEC" w:rsidRDefault="00C9603E" w:rsidP="00C9603E">
      <w:pPr>
        <w:ind w:firstLine="557"/>
        <w:jc w:val="both"/>
      </w:pPr>
      <w:r w:rsidRPr="00F24CEC">
        <w:t>Model: This shows the number of the analyzed regression model.</w:t>
      </w:r>
    </w:p>
    <w:p w:rsidR="00C9603E" w:rsidRPr="00F24CEC" w:rsidRDefault="00C9603E" w:rsidP="00C9603E">
      <w:pPr>
        <w:ind w:firstLine="557"/>
        <w:jc w:val="both"/>
      </w:pPr>
      <w:r w:rsidRPr="00F24CEC">
        <w:rPr>
          <w:i/>
          <w:iCs/>
        </w:rPr>
        <w:t>Unstandardized Coefficients</w:t>
      </w:r>
      <w:r w:rsidRPr="00F24CEC">
        <w:t>: This shows the unstandardized coefficient for each independent variable. In this case, the independent variable X1 has a coefficient of -17.466, X2 has a coefficient of 5.815, and X3 has a coefficient of -6.473.</w:t>
      </w:r>
    </w:p>
    <w:p w:rsidR="00C9603E" w:rsidRPr="00F24CEC" w:rsidRDefault="00C9603E" w:rsidP="00C9603E">
      <w:pPr>
        <w:ind w:firstLine="557"/>
        <w:jc w:val="both"/>
      </w:pPr>
      <w:r w:rsidRPr="00F24CEC">
        <w:rPr>
          <w:i/>
          <w:iCs/>
        </w:rPr>
        <w:lastRenderedPageBreak/>
        <w:t xml:space="preserve">Standardized </w:t>
      </w:r>
      <w:proofErr w:type="spellStart"/>
      <w:r w:rsidRPr="00F24CEC">
        <w:rPr>
          <w:i/>
          <w:iCs/>
        </w:rPr>
        <w:t>Coefficients</w:t>
      </w:r>
      <w:proofErr w:type="gramStart"/>
      <w:r w:rsidRPr="00F24CEC">
        <w:rPr>
          <w:i/>
          <w:iCs/>
        </w:rPr>
        <w:t>:</w:t>
      </w:r>
      <w:r w:rsidRPr="00F24CEC">
        <w:t>It</w:t>
      </w:r>
      <w:proofErr w:type="spellEnd"/>
      <w:proofErr w:type="gramEnd"/>
      <w:r w:rsidRPr="00F24CEC">
        <w:t xml:space="preserve"> shows the standardized coefficient for each independent variable. In this case, the independent variable X1 has a standardized coefficient of -0.261, X2 has a standardized coefficient of 1.119, and X3 has a standardized coefficient of -0.087.</w:t>
      </w:r>
    </w:p>
    <w:p w:rsidR="00C9603E" w:rsidRPr="00F24CEC" w:rsidRDefault="00C9603E" w:rsidP="00C9603E">
      <w:pPr>
        <w:ind w:firstLine="557"/>
        <w:jc w:val="both"/>
      </w:pPr>
      <w:proofErr w:type="gramStart"/>
      <w:r w:rsidRPr="00F24CEC">
        <w:t>t</w:t>
      </w:r>
      <w:proofErr w:type="gramEnd"/>
      <w:r w:rsidRPr="00F24CEC">
        <w:t>: This is the t value calculated for each independent variable. This t value is used to test the significance of the independent variable on the dependent variable. In this case, the independent variable X1 has a t value of -0.815, X2 has a t value of 4.969, and X3 has a t value of -0.383.</w:t>
      </w:r>
    </w:p>
    <w:p w:rsidR="00C9603E" w:rsidRPr="00F24CEC" w:rsidRDefault="00C9603E" w:rsidP="00C9603E">
      <w:pPr>
        <w:ind w:firstLine="557"/>
        <w:jc w:val="both"/>
      </w:pPr>
      <w:r w:rsidRPr="00F24CEC">
        <w:t>Sig.: This shows the significance value (p-value) for each independent variable. The p-value is used to determine whether the independent variable significantly influences the dependent variable. In this case, the independent variable X1 has a p-value of 0.442, X2 has a p-value of 0.002, and X3 has a p-value of 0.713.</w:t>
      </w:r>
    </w:p>
    <w:p w:rsidR="00C9603E" w:rsidRPr="00F24CEC" w:rsidRDefault="00C9603E" w:rsidP="001456D2">
      <w:pPr>
        <w:ind w:firstLine="557"/>
        <w:jc w:val="both"/>
      </w:pPr>
      <w:r w:rsidRPr="00F24CEC">
        <w:t>Based on the standards used, if the calculated t value (which is calculated from the data) is greater than the t table value at a certain level of significance (in this case, a degree of confidence of 5% or α = 0.05), then the null hypothesis (Ho) is rejected and the alternative hypothesis (Ha) accepted. This means the independent variable has a significant influence on the dependent variable. Conversely, if the calculated t value is smaller than the table t value, then Ho is accepted and Ha is rejected.</w:t>
      </w:r>
      <w:r w:rsidR="001456D2" w:rsidRPr="00F24CEC">
        <w:t xml:space="preserve"> </w:t>
      </w:r>
      <w:r w:rsidRPr="00F24CEC">
        <w:t>However, it should be noted that in the case of X2, the calculated t value (4.969) is greater than the t table value at the 5% significance level. Therefore, the null hypothesis is rejected and the alternative hypothesis is accepted, indicating that the independent variable X2 has a significant influence on the dependent variable Y at a confidence level of 5%.</w:t>
      </w:r>
      <w:r w:rsidR="001456D2" w:rsidRPr="00F24CEC">
        <w:t xml:space="preserve"> </w:t>
      </w:r>
      <w:r w:rsidRPr="00F24CEC">
        <w:t xml:space="preserve">The results of this research are in line with research by </w:t>
      </w:r>
      <w:proofErr w:type="spellStart"/>
      <w:r w:rsidRPr="00F24CEC">
        <w:t>Oktada</w:t>
      </w:r>
      <w:proofErr w:type="spellEnd"/>
      <w:r w:rsidRPr="00F24CEC">
        <w:t xml:space="preserve"> &amp; </w:t>
      </w:r>
      <w:proofErr w:type="spellStart"/>
      <w:r w:rsidRPr="00F24CEC">
        <w:t>Suryani</w:t>
      </w:r>
      <w:proofErr w:type="spellEnd"/>
      <w:r w:rsidRPr="00F24CEC">
        <w:t xml:space="preserve"> (2016) and research by </w:t>
      </w:r>
      <w:proofErr w:type="spellStart"/>
      <w:r w:rsidRPr="00F24CEC">
        <w:t>Destiani</w:t>
      </w:r>
      <w:proofErr w:type="spellEnd"/>
      <w:r w:rsidRPr="00F24CEC">
        <w:t xml:space="preserve"> and Juliana (2021) where they found the same empirical evidence that there is a significant influence between Islamic Corporate Social Responsibility (ICSR) and the </w:t>
      </w:r>
      <w:proofErr w:type="spellStart"/>
      <w:r w:rsidRPr="00F24CEC">
        <w:t>Islamicity</w:t>
      </w:r>
      <w:proofErr w:type="spellEnd"/>
      <w:r w:rsidRPr="00F24CEC">
        <w:t xml:space="preserve"> Performance Index (IPI) on company reputation.</w:t>
      </w:r>
    </w:p>
    <w:p w:rsidR="00C9603E" w:rsidRPr="00F24CEC" w:rsidRDefault="00C9603E" w:rsidP="00662EC3">
      <w:pPr>
        <w:jc w:val="both"/>
      </w:pPr>
    </w:p>
    <w:p w:rsidR="00662EC3" w:rsidRPr="00F24CEC" w:rsidRDefault="00662EC3" w:rsidP="001456D2">
      <w:pPr>
        <w:pStyle w:val="Heading1"/>
        <w:numPr>
          <w:ilvl w:val="0"/>
          <w:numId w:val="1"/>
        </w:numPr>
        <w:suppressAutoHyphens/>
        <w:ind w:left="360"/>
        <w:rPr>
          <w:i w:val="0"/>
          <w:sz w:val="24"/>
          <w:szCs w:val="24"/>
        </w:rPr>
      </w:pPr>
      <w:r w:rsidRPr="00F24CEC">
        <w:rPr>
          <w:i w:val="0"/>
          <w:sz w:val="24"/>
          <w:szCs w:val="24"/>
          <w:lang w:val="id-ID"/>
        </w:rPr>
        <w:t>Conclusion</w:t>
      </w:r>
    </w:p>
    <w:p w:rsidR="00C9603E" w:rsidRPr="00F24CEC" w:rsidRDefault="00C9603E" w:rsidP="00662EC3">
      <w:pPr>
        <w:ind w:firstLine="426"/>
        <w:jc w:val="both"/>
      </w:pPr>
      <w:r w:rsidRPr="00F24CEC">
        <w:t xml:space="preserve">Based on the test results and discussions described previously, it can be concluded that disclosure of Islamic Corporate Social Responsibility (ICSR) and </w:t>
      </w:r>
      <w:proofErr w:type="spellStart"/>
      <w:r w:rsidRPr="00F24CEC">
        <w:t>Islamicity</w:t>
      </w:r>
      <w:proofErr w:type="spellEnd"/>
      <w:r w:rsidRPr="00F24CEC">
        <w:t xml:space="preserve"> Performance Index (IPI) has a positive and significant influence on corporate reputation at Islamic banks in Indonesia. Islamic banks that are active in expressing corporate social responsibility based on Islamic principles and have good performance according to IPI tend to have a better reputation in the eyes of stakeholders. These findings provide a more comprehensive understanding of this relationship and can provide insight into improving ICSR and IPI disclosures in Islamic banks in Indonesia, so as to strengthen the company's reputation from a sharia perspective.</w:t>
      </w:r>
    </w:p>
    <w:p w:rsidR="00C9603E" w:rsidRPr="00F24CEC" w:rsidRDefault="00C9603E" w:rsidP="00662EC3">
      <w:pPr>
        <w:ind w:firstLine="426"/>
        <w:jc w:val="both"/>
        <w:rPr>
          <w:szCs w:val="24"/>
          <w:lang w:val="id-ID"/>
        </w:rPr>
      </w:pPr>
    </w:p>
    <w:p w:rsidR="0040120D" w:rsidRPr="00F24CEC" w:rsidRDefault="00662EC3" w:rsidP="00C9603E">
      <w:pPr>
        <w:pBdr>
          <w:top w:val="nil"/>
          <w:left w:val="nil"/>
          <w:bottom w:val="nil"/>
          <w:right w:val="nil"/>
          <w:between w:val="nil"/>
        </w:pBdr>
        <w:ind w:right="-59"/>
        <w:jc w:val="both"/>
        <w:rPr>
          <w:b/>
          <w:szCs w:val="24"/>
        </w:rPr>
      </w:pPr>
      <w:r w:rsidRPr="00F24CEC">
        <w:rPr>
          <w:b/>
          <w:szCs w:val="24"/>
          <w:lang w:val="id-ID"/>
        </w:rPr>
        <w:t>Reference</w:t>
      </w:r>
    </w:p>
    <w:p w:rsidR="00C9603E" w:rsidRPr="00F24CEC" w:rsidRDefault="00C9603E" w:rsidP="00C9603E">
      <w:pPr>
        <w:pBdr>
          <w:top w:val="nil"/>
          <w:left w:val="nil"/>
          <w:bottom w:val="nil"/>
          <w:right w:val="nil"/>
          <w:between w:val="nil"/>
        </w:pBdr>
        <w:ind w:right="-59"/>
        <w:jc w:val="both"/>
        <w:rPr>
          <w:rFonts w:eastAsia="Book Antiqua"/>
        </w:rPr>
      </w:pPr>
      <w:r w:rsidRPr="00F24CEC">
        <w:rPr>
          <w:rFonts w:eastAsiaTheme="minorHAnsi"/>
        </w:rPr>
        <w:fldChar w:fldCharType="begin" w:fldLock="1"/>
      </w:r>
      <w:r w:rsidRPr="00F24CEC">
        <w:instrText xml:space="preserve">ADDIN Mendeley Bibliography CSL_BIBLIOGRAPHY </w:instrText>
      </w:r>
      <w:r w:rsidRPr="00F24CEC">
        <w:rPr>
          <w:rFonts w:eastAsiaTheme="minorHAnsi"/>
        </w:rPr>
        <w:fldChar w:fldCharType="separate"/>
      </w:r>
    </w:p>
    <w:p w:rsidR="00C9603E" w:rsidRPr="00F24CEC" w:rsidRDefault="00C9603E" w:rsidP="00C9603E">
      <w:pPr>
        <w:pStyle w:val="ListParagraph"/>
        <w:widowControl w:val="0"/>
        <w:numPr>
          <w:ilvl w:val="0"/>
          <w:numId w:val="10"/>
        </w:numPr>
        <w:autoSpaceDE w:val="0"/>
        <w:autoSpaceDN w:val="0"/>
        <w:adjustRightInd w:val="0"/>
        <w:spacing w:after="200" w:line="276" w:lineRule="auto"/>
        <w:jc w:val="both"/>
        <w:rPr>
          <w:noProof/>
          <w:szCs w:val="24"/>
        </w:rPr>
      </w:pPr>
      <w:r w:rsidRPr="00F24CEC">
        <w:rPr>
          <w:szCs w:val="24"/>
        </w:rPr>
        <w:t>Itamaji, G., &amp; Hartono, W. E. (2018). Kontribusi Program Paket Masa Depan Dalam</w:t>
      </w:r>
      <w:r w:rsidRPr="00F24CEC">
        <w:rPr>
          <w:spacing w:val="1"/>
          <w:szCs w:val="24"/>
        </w:rPr>
        <w:t xml:space="preserve"> </w:t>
      </w:r>
      <w:r w:rsidRPr="00F24CEC">
        <w:rPr>
          <w:szCs w:val="24"/>
        </w:rPr>
        <w:t xml:space="preserve">Pemberdayaan Ekonomi Perempuan Pra Sejahtera di Pedesaan. </w:t>
      </w:r>
      <w:r w:rsidRPr="00F24CEC">
        <w:rPr>
          <w:i/>
          <w:szCs w:val="24"/>
        </w:rPr>
        <w:t>Jurnal Bisnis</w:t>
      </w:r>
      <w:r w:rsidRPr="00F24CEC">
        <w:rPr>
          <w:i/>
          <w:spacing w:val="1"/>
          <w:szCs w:val="24"/>
        </w:rPr>
        <w:t xml:space="preserve"> </w:t>
      </w:r>
      <w:r w:rsidRPr="00F24CEC">
        <w:rPr>
          <w:i/>
          <w:szCs w:val="24"/>
        </w:rPr>
        <w:t>Dan</w:t>
      </w:r>
      <w:r w:rsidRPr="00F24CEC">
        <w:rPr>
          <w:i/>
          <w:spacing w:val="2"/>
          <w:szCs w:val="24"/>
        </w:rPr>
        <w:t xml:space="preserve"> </w:t>
      </w:r>
      <w:r w:rsidRPr="00F24CEC">
        <w:rPr>
          <w:i/>
          <w:szCs w:val="24"/>
        </w:rPr>
        <w:t>Ekonomi</w:t>
      </w:r>
      <w:r w:rsidRPr="00F24CEC">
        <w:rPr>
          <w:szCs w:val="24"/>
        </w:rPr>
        <w:t>,</w:t>
      </w:r>
      <w:r w:rsidRPr="00F24CEC">
        <w:rPr>
          <w:spacing w:val="1"/>
          <w:szCs w:val="24"/>
        </w:rPr>
        <w:t xml:space="preserve"> </w:t>
      </w:r>
      <w:r w:rsidRPr="00F24CEC">
        <w:rPr>
          <w:i/>
          <w:szCs w:val="24"/>
        </w:rPr>
        <w:t>25</w:t>
      </w:r>
      <w:r w:rsidRPr="00F24CEC">
        <w:rPr>
          <w:szCs w:val="24"/>
        </w:rPr>
        <w:t>(1),</w:t>
      </w:r>
      <w:r w:rsidRPr="00F24CEC">
        <w:rPr>
          <w:spacing w:val="1"/>
          <w:szCs w:val="24"/>
        </w:rPr>
        <w:t xml:space="preserve"> </w:t>
      </w:r>
      <w:r w:rsidRPr="00F24CEC">
        <w:rPr>
          <w:szCs w:val="24"/>
        </w:rPr>
        <w:t>82–88.</w:t>
      </w:r>
    </w:p>
    <w:p w:rsidR="00C9603E" w:rsidRPr="00F24CEC" w:rsidRDefault="00C9603E" w:rsidP="00C9603E">
      <w:pPr>
        <w:pStyle w:val="ListParagraph"/>
        <w:widowControl w:val="0"/>
        <w:numPr>
          <w:ilvl w:val="0"/>
          <w:numId w:val="10"/>
        </w:numPr>
        <w:autoSpaceDE w:val="0"/>
        <w:autoSpaceDN w:val="0"/>
        <w:adjustRightInd w:val="0"/>
        <w:spacing w:after="200" w:line="276" w:lineRule="auto"/>
        <w:jc w:val="both"/>
        <w:rPr>
          <w:noProof/>
          <w:szCs w:val="24"/>
        </w:rPr>
      </w:pPr>
      <w:r w:rsidRPr="00F24CEC">
        <w:rPr>
          <w:szCs w:val="24"/>
        </w:rPr>
        <w:t xml:space="preserve">Isnaini Harahap dan M.Ridwan. 2016. </w:t>
      </w:r>
      <w:r w:rsidRPr="00F24CEC">
        <w:rPr>
          <w:i/>
          <w:szCs w:val="24"/>
        </w:rPr>
        <w:t>The Handbook Of Islamic Economics</w:t>
      </w:r>
      <w:r w:rsidRPr="00F24CEC">
        <w:rPr>
          <w:szCs w:val="24"/>
        </w:rPr>
        <w:t>. Medan:</w:t>
      </w:r>
      <w:r w:rsidRPr="00F24CEC">
        <w:rPr>
          <w:spacing w:val="1"/>
          <w:szCs w:val="24"/>
        </w:rPr>
        <w:t xml:space="preserve"> </w:t>
      </w:r>
      <w:r w:rsidRPr="00F24CEC">
        <w:rPr>
          <w:szCs w:val="24"/>
        </w:rPr>
        <w:t>Febi</w:t>
      </w:r>
      <w:r w:rsidRPr="00F24CEC">
        <w:rPr>
          <w:spacing w:val="-1"/>
          <w:szCs w:val="24"/>
        </w:rPr>
        <w:t xml:space="preserve"> </w:t>
      </w:r>
      <w:r w:rsidRPr="00F24CEC">
        <w:rPr>
          <w:szCs w:val="24"/>
        </w:rPr>
        <w:t>Press.</w:t>
      </w:r>
    </w:p>
    <w:p w:rsidR="00C9603E" w:rsidRPr="00F24CEC" w:rsidRDefault="00C9603E" w:rsidP="00C9603E">
      <w:pPr>
        <w:pStyle w:val="ListParagraph"/>
        <w:widowControl w:val="0"/>
        <w:numPr>
          <w:ilvl w:val="0"/>
          <w:numId w:val="10"/>
        </w:numPr>
        <w:autoSpaceDE w:val="0"/>
        <w:autoSpaceDN w:val="0"/>
        <w:adjustRightInd w:val="0"/>
        <w:spacing w:after="200" w:line="276" w:lineRule="auto"/>
        <w:jc w:val="both"/>
        <w:rPr>
          <w:noProof/>
          <w:szCs w:val="24"/>
        </w:rPr>
      </w:pPr>
      <w:r w:rsidRPr="00F24CEC">
        <w:rPr>
          <w:szCs w:val="24"/>
        </w:rPr>
        <w:t>M.</w:t>
      </w:r>
      <w:r w:rsidRPr="00F24CEC">
        <w:rPr>
          <w:spacing w:val="1"/>
          <w:szCs w:val="24"/>
        </w:rPr>
        <w:t xml:space="preserve"> </w:t>
      </w:r>
      <w:r w:rsidRPr="00F24CEC">
        <w:rPr>
          <w:szCs w:val="24"/>
        </w:rPr>
        <w:t>Ridwan,</w:t>
      </w:r>
      <w:r w:rsidRPr="00F24CEC">
        <w:rPr>
          <w:spacing w:val="1"/>
          <w:szCs w:val="24"/>
        </w:rPr>
        <w:t xml:space="preserve"> </w:t>
      </w:r>
      <w:r w:rsidRPr="00F24CEC">
        <w:rPr>
          <w:szCs w:val="24"/>
        </w:rPr>
        <w:t>dkk.</w:t>
      </w:r>
      <w:r w:rsidRPr="00F24CEC">
        <w:rPr>
          <w:spacing w:val="1"/>
          <w:szCs w:val="24"/>
        </w:rPr>
        <w:t xml:space="preserve"> </w:t>
      </w:r>
      <w:r w:rsidRPr="00F24CEC">
        <w:rPr>
          <w:szCs w:val="24"/>
        </w:rPr>
        <w:t>2013.</w:t>
      </w:r>
      <w:r w:rsidRPr="00F24CEC">
        <w:rPr>
          <w:i/>
          <w:szCs w:val="24"/>
        </w:rPr>
        <w:t>Ekonomi</w:t>
      </w:r>
      <w:r w:rsidRPr="00F24CEC">
        <w:rPr>
          <w:i/>
          <w:spacing w:val="1"/>
          <w:szCs w:val="24"/>
        </w:rPr>
        <w:t xml:space="preserve"> </w:t>
      </w:r>
      <w:r w:rsidRPr="00F24CEC">
        <w:rPr>
          <w:i/>
          <w:szCs w:val="24"/>
        </w:rPr>
        <w:t>Pengantar</w:t>
      </w:r>
      <w:r w:rsidRPr="00F24CEC">
        <w:rPr>
          <w:i/>
          <w:spacing w:val="1"/>
          <w:szCs w:val="24"/>
        </w:rPr>
        <w:t xml:space="preserve"> </w:t>
      </w:r>
      <w:r w:rsidRPr="00F24CEC">
        <w:rPr>
          <w:i/>
          <w:szCs w:val="24"/>
        </w:rPr>
        <w:t>Mikro</w:t>
      </w:r>
      <w:r w:rsidRPr="00F24CEC">
        <w:rPr>
          <w:i/>
          <w:spacing w:val="1"/>
          <w:szCs w:val="24"/>
        </w:rPr>
        <w:t xml:space="preserve"> </w:t>
      </w:r>
      <w:r w:rsidRPr="00F24CEC">
        <w:rPr>
          <w:i/>
          <w:szCs w:val="24"/>
        </w:rPr>
        <w:t>dan</w:t>
      </w:r>
      <w:r w:rsidRPr="00F24CEC">
        <w:rPr>
          <w:i/>
          <w:spacing w:val="1"/>
          <w:szCs w:val="24"/>
        </w:rPr>
        <w:t xml:space="preserve"> </w:t>
      </w:r>
      <w:r w:rsidRPr="00F24CEC">
        <w:rPr>
          <w:i/>
          <w:szCs w:val="24"/>
        </w:rPr>
        <w:t>Makro</w:t>
      </w:r>
      <w:r w:rsidRPr="00F24CEC">
        <w:rPr>
          <w:i/>
          <w:spacing w:val="1"/>
          <w:szCs w:val="24"/>
        </w:rPr>
        <w:t xml:space="preserve"> </w:t>
      </w:r>
      <w:r w:rsidRPr="00F24CEC">
        <w:rPr>
          <w:i/>
          <w:szCs w:val="24"/>
        </w:rPr>
        <w:t>Islam</w:t>
      </w:r>
      <w:r w:rsidRPr="00F24CEC">
        <w:rPr>
          <w:szCs w:val="24"/>
        </w:rPr>
        <w:t>.</w:t>
      </w:r>
      <w:r w:rsidRPr="00F24CEC">
        <w:rPr>
          <w:spacing w:val="1"/>
          <w:szCs w:val="24"/>
        </w:rPr>
        <w:t xml:space="preserve"> </w:t>
      </w:r>
      <w:r w:rsidRPr="00F24CEC">
        <w:rPr>
          <w:szCs w:val="24"/>
        </w:rPr>
        <w:t>Bandung:</w:t>
      </w:r>
      <w:r w:rsidRPr="00F24CEC">
        <w:rPr>
          <w:spacing w:val="1"/>
          <w:szCs w:val="24"/>
        </w:rPr>
        <w:t xml:space="preserve"> </w:t>
      </w:r>
      <w:r w:rsidRPr="00F24CEC">
        <w:rPr>
          <w:szCs w:val="24"/>
        </w:rPr>
        <w:lastRenderedPageBreak/>
        <w:t>Citapustaka</w:t>
      </w:r>
      <w:r w:rsidRPr="00F24CEC">
        <w:rPr>
          <w:spacing w:val="2"/>
          <w:szCs w:val="24"/>
        </w:rPr>
        <w:t xml:space="preserve"> </w:t>
      </w:r>
      <w:r w:rsidRPr="00F24CEC">
        <w:rPr>
          <w:szCs w:val="24"/>
        </w:rPr>
        <w:t>Media.</w:t>
      </w:r>
    </w:p>
    <w:p w:rsidR="00C9603E" w:rsidRPr="00F24CEC" w:rsidRDefault="00C9603E" w:rsidP="00C9603E">
      <w:pPr>
        <w:pStyle w:val="ListParagraph"/>
        <w:widowControl w:val="0"/>
        <w:numPr>
          <w:ilvl w:val="0"/>
          <w:numId w:val="10"/>
        </w:numPr>
        <w:autoSpaceDE w:val="0"/>
        <w:autoSpaceDN w:val="0"/>
        <w:adjustRightInd w:val="0"/>
        <w:spacing w:after="200" w:line="276" w:lineRule="auto"/>
        <w:jc w:val="both"/>
        <w:rPr>
          <w:noProof/>
          <w:szCs w:val="24"/>
        </w:rPr>
      </w:pPr>
      <w:r w:rsidRPr="00F24CEC">
        <w:rPr>
          <w:szCs w:val="24"/>
        </w:rPr>
        <w:t>Soemitra, Andri. 2017. Bank dan lembaga Keuangan Syariah, kencana Prenadamedia</w:t>
      </w:r>
      <w:r w:rsidRPr="00F24CEC">
        <w:rPr>
          <w:spacing w:val="-46"/>
          <w:szCs w:val="24"/>
        </w:rPr>
        <w:t xml:space="preserve"> </w:t>
      </w:r>
      <w:r w:rsidRPr="00F24CEC">
        <w:rPr>
          <w:szCs w:val="24"/>
        </w:rPr>
        <w:t>Group.</w:t>
      </w:r>
    </w:p>
    <w:p w:rsidR="00C9603E" w:rsidRPr="00F24CEC" w:rsidRDefault="00C9603E" w:rsidP="00C9603E">
      <w:pPr>
        <w:pStyle w:val="ListParagraph"/>
        <w:widowControl w:val="0"/>
        <w:numPr>
          <w:ilvl w:val="0"/>
          <w:numId w:val="10"/>
        </w:numPr>
        <w:autoSpaceDE w:val="0"/>
        <w:autoSpaceDN w:val="0"/>
        <w:adjustRightInd w:val="0"/>
        <w:spacing w:after="200" w:line="276" w:lineRule="auto"/>
        <w:jc w:val="both"/>
        <w:rPr>
          <w:noProof/>
          <w:szCs w:val="24"/>
        </w:rPr>
      </w:pPr>
      <w:r w:rsidRPr="00F24CEC">
        <w:rPr>
          <w:szCs w:val="24"/>
        </w:rPr>
        <w:t>Tarigan Zelfia, M., &amp; Zulhilmi, M. (n.d.).</w:t>
      </w:r>
      <w:r w:rsidRPr="00F24CEC">
        <w:rPr>
          <w:spacing w:val="48"/>
          <w:szCs w:val="24"/>
        </w:rPr>
        <w:t xml:space="preserve"> </w:t>
      </w:r>
      <w:r w:rsidRPr="00F24CEC">
        <w:rPr>
          <w:szCs w:val="24"/>
        </w:rPr>
        <w:t>Pengaruh Pengetahuan , Modal Investasi</w:t>
      </w:r>
      <w:r w:rsidRPr="00F24CEC">
        <w:rPr>
          <w:spacing w:val="1"/>
          <w:szCs w:val="24"/>
        </w:rPr>
        <w:t xml:space="preserve"> </w:t>
      </w:r>
      <w:r w:rsidRPr="00F24CEC">
        <w:rPr>
          <w:szCs w:val="24"/>
        </w:rPr>
        <w:t>Awal Dan Persepsi Risiko Terhadap Keputusan Mahasiswa Fakultas Ekonomi</w:t>
      </w:r>
      <w:r w:rsidRPr="00F24CEC">
        <w:rPr>
          <w:spacing w:val="1"/>
          <w:szCs w:val="24"/>
        </w:rPr>
        <w:t xml:space="preserve"> </w:t>
      </w:r>
      <w:r w:rsidRPr="00F24CEC">
        <w:rPr>
          <w:szCs w:val="24"/>
        </w:rPr>
        <w:t>Dan</w:t>
      </w:r>
      <w:r w:rsidRPr="00F24CEC">
        <w:rPr>
          <w:spacing w:val="1"/>
          <w:szCs w:val="24"/>
        </w:rPr>
        <w:t xml:space="preserve"> </w:t>
      </w:r>
      <w:r w:rsidRPr="00F24CEC">
        <w:rPr>
          <w:szCs w:val="24"/>
        </w:rPr>
        <w:t>Bisnis</w:t>
      </w:r>
      <w:r w:rsidRPr="00F24CEC">
        <w:rPr>
          <w:spacing w:val="1"/>
          <w:szCs w:val="24"/>
        </w:rPr>
        <w:t xml:space="preserve"> </w:t>
      </w:r>
      <w:r w:rsidRPr="00F24CEC">
        <w:rPr>
          <w:szCs w:val="24"/>
        </w:rPr>
        <w:t>Islam</w:t>
      </w:r>
      <w:r w:rsidRPr="00F24CEC">
        <w:rPr>
          <w:spacing w:val="1"/>
          <w:szCs w:val="24"/>
        </w:rPr>
        <w:t xml:space="preserve"> </w:t>
      </w:r>
      <w:r w:rsidRPr="00F24CEC">
        <w:rPr>
          <w:szCs w:val="24"/>
        </w:rPr>
        <w:t>Untuk</w:t>
      </w:r>
      <w:r w:rsidRPr="00F24CEC">
        <w:rPr>
          <w:spacing w:val="1"/>
          <w:szCs w:val="24"/>
        </w:rPr>
        <w:t xml:space="preserve"> </w:t>
      </w:r>
      <w:r w:rsidRPr="00F24CEC">
        <w:rPr>
          <w:szCs w:val="24"/>
        </w:rPr>
        <w:t>Berinvestasi</w:t>
      </w:r>
      <w:r w:rsidRPr="00F24CEC">
        <w:rPr>
          <w:spacing w:val="1"/>
          <w:szCs w:val="24"/>
        </w:rPr>
        <w:t xml:space="preserve"> </w:t>
      </w:r>
      <w:r w:rsidRPr="00F24CEC">
        <w:rPr>
          <w:szCs w:val="24"/>
        </w:rPr>
        <w:t>Di</w:t>
      </w:r>
      <w:r w:rsidRPr="00F24CEC">
        <w:rPr>
          <w:spacing w:val="1"/>
          <w:szCs w:val="24"/>
        </w:rPr>
        <w:t xml:space="preserve"> </w:t>
      </w:r>
      <w:r w:rsidRPr="00F24CEC">
        <w:rPr>
          <w:szCs w:val="24"/>
        </w:rPr>
        <w:t>Ipot</w:t>
      </w:r>
      <w:r w:rsidRPr="00F24CEC">
        <w:rPr>
          <w:spacing w:val="1"/>
          <w:szCs w:val="24"/>
        </w:rPr>
        <w:t xml:space="preserve"> </w:t>
      </w:r>
      <w:r w:rsidRPr="00F24CEC">
        <w:rPr>
          <w:szCs w:val="24"/>
        </w:rPr>
        <w:t>The</w:t>
      </w:r>
      <w:r w:rsidRPr="00F24CEC">
        <w:rPr>
          <w:spacing w:val="1"/>
          <w:szCs w:val="24"/>
        </w:rPr>
        <w:t xml:space="preserve"> </w:t>
      </w:r>
      <w:r w:rsidRPr="00F24CEC">
        <w:rPr>
          <w:szCs w:val="24"/>
        </w:rPr>
        <w:t>Influence</w:t>
      </w:r>
      <w:r w:rsidRPr="00F24CEC">
        <w:rPr>
          <w:spacing w:val="1"/>
          <w:szCs w:val="24"/>
        </w:rPr>
        <w:t xml:space="preserve"> </w:t>
      </w:r>
      <w:r w:rsidRPr="00F24CEC">
        <w:rPr>
          <w:szCs w:val="24"/>
        </w:rPr>
        <w:t>Of</w:t>
      </w:r>
      <w:r w:rsidRPr="00F24CEC">
        <w:rPr>
          <w:spacing w:val="1"/>
          <w:szCs w:val="24"/>
        </w:rPr>
        <w:t xml:space="preserve"> </w:t>
      </w:r>
      <w:r w:rsidRPr="00F24CEC">
        <w:rPr>
          <w:szCs w:val="24"/>
        </w:rPr>
        <w:t>Knowledge</w:t>
      </w:r>
      <w:r w:rsidRPr="00F24CEC">
        <w:rPr>
          <w:spacing w:val="48"/>
          <w:szCs w:val="24"/>
        </w:rPr>
        <w:t xml:space="preserve"> </w:t>
      </w:r>
      <w:r w:rsidRPr="00F24CEC">
        <w:rPr>
          <w:szCs w:val="24"/>
        </w:rPr>
        <w:t>,</w:t>
      </w:r>
      <w:r w:rsidRPr="00F24CEC">
        <w:rPr>
          <w:spacing w:val="1"/>
          <w:szCs w:val="24"/>
        </w:rPr>
        <w:t xml:space="preserve"> </w:t>
      </w:r>
      <w:r w:rsidRPr="00F24CEC">
        <w:rPr>
          <w:szCs w:val="24"/>
        </w:rPr>
        <w:t xml:space="preserve">Initial Investment Capital And Perception Of Risk On The Decision Of Stu. </w:t>
      </w:r>
      <w:r w:rsidRPr="00F24CEC">
        <w:rPr>
          <w:i/>
          <w:szCs w:val="24"/>
        </w:rPr>
        <w:t>4</w:t>
      </w:r>
      <w:r w:rsidRPr="00F24CEC">
        <w:rPr>
          <w:szCs w:val="24"/>
        </w:rPr>
        <w:t>(2),</w:t>
      </w:r>
      <w:r w:rsidRPr="00F24CEC">
        <w:rPr>
          <w:spacing w:val="1"/>
          <w:szCs w:val="24"/>
        </w:rPr>
        <w:t xml:space="preserve"> </w:t>
      </w:r>
      <w:r w:rsidRPr="00F24CEC">
        <w:rPr>
          <w:szCs w:val="24"/>
        </w:rPr>
        <w:t>136–146.</w:t>
      </w:r>
    </w:p>
    <w:p w:rsidR="00C9603E" w:rsidRPr="00F24CEC" w:rsidRDefault="00C9603E" w:rsidP="00C9603E">
      <w:pPr>
        <w:pStyle w:val="ListParagraph"/>
        <w:widowControl w:val="0"/>
        <w:numPr>
          <w:ilvl w:val="0"/>
          <w:numId w:val="10"/>
        </w:numPr>
        <w:autoSpaceDE w:val="0"/>
        <w:autoSpaceDN w:val="0"/>
        <w:adjustRightInd w:val="0"/>
        <w:spacing w:after="200" w:line="276" w:lineRule="auto"/>
        <w:jc w:val="both"/>
        <w:rPr>
          <w:noProof/>
          <w:szCs w:val="24"/>
        </w:rPr>
      </w:pPr>
      <w:r w:rsidRPr="00F24CEC">
        <w:rPr>
          <w:szCs w:val="24"/>
        </w:rPr>
        <w:t>Arifin, J., &amp; Wardani, EA (2016). Islamic Corporate Social Responsibility Disclosure, Reputation and Financial Performance: Study of Sharia Banks in Indonesia. Indonesian Accounting &amp; Auditing Journal, 20(1), 38–46.</w:t>
      </w:r>
    </w:p>
    <w:sdt>
      <w:sdtPr>
        <w:id w:val="111145805"/>
        <w:bibliography/>
      </w:sdtPr>
      <w:sdtEndPr>
        <w:rPr>
          <w:szCs w:val="24"/>
        </w:rPr>
      </w:sdtEndPr>
      <w:sdtContent>
        <w:p w:rsidR="00C9603E" w:rsidRPr="00F24CEC" w:rsidRDefault="00C9603E" w:rsidP="00C9603E">
          <w:pPr>
            <w:pStyle w:val="ListParagraph"/>
            <w:widowControl w:val="0"/>
            <w:numPr>
              <w:ilvl w:val="0"/>
              <w:numId w:val="10"/>
            </w:numPr>
            <w:autoSpaceDE w:val="0"/>
            <w:autoSpaceDN w:val="0"/>
            <w:adjustRightInd w:val="0"/>
            <w:spacing w:after="200" w:line="276" w:lineRule="auto"/>
            <w:jc w:val="both"/>
            <w:rPr>
              <w:szCs w:val="24"/>
            </w:rPr>
          </w:pPr>
          <w:r w:rsidRPr="00F24CEC">
            <w:rPr>
              <w:szCs w:val="24"/>
            </w:rPr>
            <w:fldChar w:fldCharType="begin"/>
          </w:r>
          <w:r w:rsidRPr="00F24CEC">
            <w:rPr>
              <w:szCs w:val="24"/>
            </w:rPr>
            <w:instrText xml:space="preserve"> BIBLIOGRAPHY </w:instrText>
          </w:r>
          <w:r w:rsidRPr="00F24CEC">
            <w:rPr>
              <w:szCs w:val="24"/>
            </w:rPr>
            <w:fldChar w:fldCharType="separate"/>
          </w:r>
          <w:r w:rsidRPr="00F24CEC">
            <w:rPr>
              <w:noProof/>
              <w:szCs w:val="24"/>
            </w:rPr>
            <w:t>Brammer, S. &amp; Millington, A. (2005). Corporate Reputation and Philanthropy: An Empirical Analysis. Journal of Business Ethics, 61(1), 29-44.</w:t>
          </w:r>
        </w:p>
        <w:p w:rsidR="00C9603E" w:rsidRPr="00F24CEC" w:rsidRDefault="00C9603E" w:rsidP="00C9603E">
          <w:pPr>
            <w:pStyle w:val="ListParagraph"/>
            <w:widowControl w:val="0"/>
            <w:numPr>
              <w:ilvl w:val="0"/>
              <w:numId w:val="10"/>
            </w:numPr>
            <w:autoSpaceDE w:val="0"/>
            <w:autoSpaceDN w:val="0"/>
            <w:adjustRightInd w:val="0"/>
            <w:spacing w:after="200" w:line="276" w:lineRule="auto"/>
            <w:jc w:val="both"/>
            <w:rPr>
              <w:szCs w:val="24"/>
            </w:rPr>
          </w:pPr>
          <w:r w:rsidRPr="00F24CEC">
            <w:t>Khairina, &amp; Marliyah, (2024). Analysis of CSR Fund Distribution at PT Bank Sumut.</w:t>
          </w:r>
        </w:p>
        <w:p w:rsidR="00C9603E" w:rsidRPr="00F24CEC" w:rsidRDefault="00C9603E" w:rsidP="00C9603E">
          <w:pPr>
            <w:pStyle w:val="ListParagraph"/>
            <w:widowControl w:val="0"/>
            <w:numPr>
              <w:ilvl w:val="0"/>
              <w:numId w:val="10"/>
            </w:numPr>
            <w:autoSpaceDE w:val="0"/>
            <w:autoSpaceDN w:val="0"/>
            <w:adjustRightInd w:val="0"/>
            <w:spacing w:after="200" w:line="276" w:lineRule="auto"/>
            <w:jc w:val="both"/>
            <w:rPr>
              <w:szCs w:val="24"/>
            </w:rPr>
          </w:pPr>
          <w:r w:rsidRPr="00F24CEC">
            <w:t>Laylan, S. &amp; Nurwani. (2021). Analysis of Zakat Funds, Non-Halal Receipts, and Corporate Social Responsibility in Sharia Banks in Indonesia, 11 (2) 101-107.</w:t>
          </w:r>
        </w:p>
        <w:p w:rsidR="00C9603E" w:rsidRPr="00F24CEC" w:rsidRDefault="00C9603E" w:rsidP="00C9603E">
          <w:pPr>
            <w:pStyle w:val="ListParagraph"/>
            <w:widowControl w:val="0"/>
            <w:numPr>
              <w:ilvl w:val="0"/>
              <w:numId w:val="10"/>
            </w:numPr>
            <w:autoSpaceDE w:val="0"/>
            <w:autoSpaceDN w:val="0"/>
            <w:adjustRightInd w:val="0"/>
            <w:spacing w:after="200" w:line="276" w:lineRule="auto"/>
            <w:jc w:val="both"/>
            <w:rPr>
              <w:szCs w:val="24"/>
            </w:rPr>
          </w:pPr>
          <w:r w:rsidRPr="00F24CEC">
            <w:t>Marliyah, &amp; M, Yafiz, (2019) Analysis of the Influence of Third Party Funds, Financing, Bancassurance on Profits and Their Impact on Community Welfare (Case Study of Sharia Banks in Indonesia).</w:t>
          </w:r>
        </w:p>
        <w:p w:rsidR="00C9603E" w:rsidRPr="00F24CEC" w:rsidRDefault="00C9603E" w:rsidP="00C9603E">
          <w:pPr>
            <w:pStyle w:val="ListParagraph"/>
            <w:widowControl w:val="0"/>
            <w:numPr>
              <w:ilvl w:val="0"/>
              <w:numId w:val="10"/>
            </w:numPr>
            <w:autoSpaceDE w:val="0"/>
            <w:autoSpaceDN w:val="0"/>
            <w:adjustRightInd w:val="0"/>
            <w:spacing w:after="200" w:line="276" w:lineRule="auto"/>
            <w:jc w:val="both"/>
            <w:rPr>
              <w:szCs w:val="24"/>
            </w:rPr>
          </w:pPr>
          <w:r w:rsidRPr="00F24CEC">
            <w:rPr>
              <w:noProof/>
              <w:szCs w:val="24"/>
            </w:rPr>
            <w:t>Mubarak, D., Pramono, P., &amp; Bayinah, A, N. (2019). Disclosure of Sharia Banking Social Performance in Indonesia Using Islamic Social Reporting. Journal of Islamic Economics and Finance, 7(1), 37-58.</w:t>
          </w:r>
        </w:p>
        <w:p w:rsidR="00C9603E" w:rsidRPr="00F24CEC" w:rsidRDefault="00C9603E" w:rsidP="00C9603E">
          <w:pPr>
            <w:pStyle w:val="ListParagraph"/>
            <w:widowControl w:val="0"/>
            <w:numPr>
              <w:ilvl w:val="0"/>
              <w:numId w:val="10"/>
            </w:numPr>
            <w:autoSpaceDE w:val="0"/>
            <w:autoSpaceDN w:val="0"/>
            <w:adjustRightInd w:val="0"/>
            <w:spacing w:after="200" w:line="276" w:lineRule="auto"/>
            <w:jc w:val="both"/>
            <w:rPr>
              <w:szCs w:val="24"/>
            </w:rPr>
          </w:pPr>
          <w:r w:rsidRPr="00F24CEC">
            <w:t>Nurul, A, L &amp; Nurwani. (2023) The Effect of CSR and Profitability on Company Value</w:t>
          </w:r>
        </w:p>
        <w:p w:rsidR="00C9603E" w:rsidRPr="00F24CEC" w:rsidRDefault="00C9603E" w:rsidP="00C9603E">
          <w:pPr>
            <w:pStyle w:val="ListParagraph"/>
            <w:widowControl w:val="0"/>
            <w:numPr>
              <w:ilvl w:val="0"/>
              <w:numId w:val="10"/>
            </w:numPr>
            <w:autoSpaceDE w:val="0"/>
            <w:autoSpaceDN w:val="0"/>
            <w:adjustRightInd w:val="0"/>
            <w:spacing w:after="200" w:line="276" w:lineRule="auto"/>
            <w:jc w:val="both"/>
            <w:rPr>
              <w:szCs w:val="24"/>
            </w:rPr>
          </w:pPr>
          <w:r w:rsidRPr="00F24CEC">
            <w:rPr>
              <w:szCs w:val="24"/>
            </w:rPr>
            <w:t>Oktada, MZ, &amp; Suryani, T. (nd). The Influence of Corporate Social Responsibility (CSR) on Company Reputiation and Customer Trust: The Case of BCA Bank. 14.</w:t>
          </w:r>
        </w:p>
        <w:p w:rsidR="00C9603E" w:rsidRPr="00F24CEC" w:rsidRDefault="00C9603E" w:rsidP="00C9603E">
          <w:pPr>
            <w:pStyle w:val="ListParagraph"/>
            <w:widowControl w:val="0"/>
            <w:numPr>
              <w:ilvl w:val="0"/>
              <w:numId w:val="10"/>
            </w:numPr>
            <w:autoSpaceDE w:val="0"/>
            <w:autoSpaceDN w:val="0"/>
            <w:adjustRightInd w:val="0"/>
            <w:spacing w:after="200" w:line="276" w:lineRule="auto"/>
            <w:jc w:val="both"/>
            <w:rPr>
              <w:noProof/>
              <w:szCs w:val="24"/>
            </w:rPr>
          </w:pPr>
          <w:r w:rsidRPr="00F24CEC">
            <w:rPr>
              <w:b/>
              <w:bCs/>
              <w:noProof/>
              <w:szCs w:val="24"/>
            </w:rPr>
            <w:fldChar w:fldCharType="end"/>
          </w:r>
          <w:r w:rsidRPr="00F24CEC">
            <w:t xml:space="preserve"> </w:t>
          </w:r>
          <w:r w:rsidRPr="00F24CEC">
            <w:rPr>
              <w:szCs w:val="24"/>
            </w:rPr>
            <w:t>Syurmita, S., &amp; Fircarina, MJ (2020). The Influence of Zakat, Islamic Corporate Social Responsibility and the Implementation of Sharia Business Good Governance on the Reputation and Performance of Sharia Commercial Banks in Indonesia. Al Azhar Indonesia Journal Social Sciences Series, 1(2), 87.</w:t>
          </w:r>
        </w:p>
        <w:p w:rsidR="00C9603E" w:rsidRPr="00F24CEC" w:rsidRDefault="00C9603E" w:rsidP="00C9603E">
          <w:pPr>
            <w:pStyle w:val="ListParagraph"/>
            <w:widowControl w:val="0"/>
            <w:numPr>
              <w:ilvl w:val="0"/>
              <w:numId w:val="10"/>
            </w:numPr>
            <w:autoSpaceDE w:val="0"/>
            <w:autoSpaceDN w:val="0"/>
            <w:adjustRightInd w:val="0"/>
            <w:spacing w:after="200" w:line="276" w:lineRule="auto"/>
            <w:jc w:val="both"/>
            <w:rPr>
              <w:noProof/>
              <w:szCs w:val="24"/>
            </w:rPr>
          </w:pPr>
          <w:r w:rsidRPr="00F24CEC">
            <w:rPr>
              <w:noProof/>
            </w:rPr>
            <w:t xml:space="preserve"> </w:t>
          </w:r>
          <w:r w:rsidRPr="00F24CEC">
            <w:rPr>
              <w:noProof/>
              <w:szCs w:val="24"/>
            </w:rPr>
            <w:t>Trisnawati, R. (2012). Measuring Sharia Banking Corporate Social Responsibility in Indonesia. JAAI, 16(2), 103-121.</w:t>
          </w:r>
        </w:p>
        <w:p w:rsidR="00C9603E" w:rsidRPr="00F24CEC" w:rsidRDefault="000D436E" w:rsidP="00C9603E">
          <w:pPr>
            <w:pStyle w:val="ListParagraph"/>
            <w:widowControl w:val="0"/>
            <w:numPr>
              <w:ilvl w:val="0"/>
              <w:numId w:val="10"/>
            </w:numPr>
            <w:autoSpaceDE w:val="0"/>
            <w:autoSpaceDN w:val="0"/>
            <w:adjustRightInd w:val="0"/>
            <w:spacing w:after="200" w:line="276" w:lineRule="auto"/>
            <w:jc w:val="both"/>
            <w:rPr>
              <w:rStyle w:val="Hyperlink"/>
              <w:noProof/>
              <w:color w:val="auto"/>
              <w:szCs w:val="24"/>
            </w:rPr>
          </w:pPr>
          <w:hyperlink r:id="rId13" w:history="1">
            <w:r w:rsidR="00C9603E" w:rsidRPr="00F24CEC">
              <w:rPr>
                <w:rStyle w:val="Hyperlink"/>
                <w:color w:val="auto"/>
                <w:szCs w:val="24"/>
              </w:rPr>
              <w:t>https://www.bcasyariah.co.id/respons-respons-social-kerja</w:t>
            </w:r>
          </w:hyperlink>
        </w:p>
        <w:p w:rsidR="00C9603E" w:rsidRPr="00F24CEC" w:rsidRDefault="000D436E" w:rsidP="00C9603E">
          <w:pPr>
            <w:pStyle w:val="ListParagraph"/>
            <w:widowControl w:val="0"/>
            <w:numPr>
              <w:ilvl w:val="0"/>
              <w:numId w:val="10"/>
            </w:numPr>
            <w:autoSpaceDE w:val="0"/>
            <w:autoSpaceDN w:val="0"/>
            <w:adjustRightInd w:val="0"/>
            <w:spacing w:after="200" w:line="276" w:lineRule="auto"/>
            <w:jc w:val="both"/>
            <w:rPr>
              <w:rStyle w:val="Hyperlink"/>
              <w:noProof/>
              <w:color w:val="auto"/>
              <w:szCs w:val="24"/>
            </w:rPr>
          </w:pPr>
          <w:hyperlink r:id="rId14" w:history="1">
            <w:r w:rsidR="00C9603E" w:rsidRPr="00F24CEC">
              <w:rPr>
                <w:rStyle w:val="Hyperlink"/>
                <w:color w:val="auto"/>
                <w:szCs w:val="24"/>
              </w:rPr>
              <w:t>https://ir.bankbsi.co.id/annual_reports.html</w:t>
            </w:r>
          </w:hyperlink>
        </w:p>
        <w:p w:rsidR="00C9603E" w:rsidRPr="00F24CEC" w:rsidRDefault="000D436E" w:rsidP="00C9603E">
          <w:pPr>
            <w:pStyle w:val="ListParagraph"/>
            <w:widowControl w:val="0"/>
            <w:numPr>
              <w:ilvl w:val="0"/>
              <w:numId w:val="10"/>
            </w:numPr>
            <w:autoSpaceDE w:val="0"/>
            <w:autoSpaceDN w:val="0"/>
            <w:adjustRightInd w:val="0"/>
            <w:spacing w:after="200" w:line="276" w:lineRule="auto"/>
            <w:jc w:val="both"/>
            <w:rPr>
              <w:rStyle w:val="Hyperlink"/>
              <w:noProof/>
              <w:color w:val="auto"/>
              <w:szCs w:val="24"/>
            </w:rPr>
          </w:pPr>
          <w:hyperlink r:id="rId15" w:history="1">
            <w:r w:rsidR="00C9603E" w:rsidRPr="00F24CEC">
              <w:rPr>
                <w:rStyle w:val="Hyperlink"/>
                <w:color w:val="auto"/>
                <w:szCs w:val="24"/>
              </w:rPr>
              <w:t>https://www.bankmuamalat.co.id/index.php/besar-investor/report-annual</w:t>
            </w:r>
          </w:hyperlink>
        </w:p>
        <w:p w:rsidR="00C9603E" w:rsidRPr="00F24CEC" w:rsidRDefault="000D436E" w:rsidP="00C9603E">
          <w:pPr>
            <w:pStyle w:val="ListParagraph"/>
            <w:widowControl w:val="0"/>
            <w:numPr>
              <w:ilvl w:val="0"/>
              <w:numId w:val="10"/>
            </w:numPr>
            <w:autoSpaceDE w:val="0"/>
            <w:autoSpaceDN w:val="0"/>
            <w:adjustRightInd w:val="0"/>
            <w:spacing w:after="200" w:line="276" w:lineRule="auto"/>
            <w:jc w:val="both"/>
            <w:rPr>
              <w:noProof/>
              <w:szCs w:val="24"/>
            </w:rPr>
          </w:pPr>
          <w:hyperlink r:id="rId16" w:history="1">
            <w:r w:rsidR="00C9603E" w:rsidRPr="00F24CEC">
              <w:rPr>
                <w:rStyle w:val="Hyperlink"/>
                <w:color w:val="auto"/>
                <w:szCs w:val="24"/>
              </w:rPr>
              <w:t>https://www.ojk.go.id/id/Default.aspx</w:t>
            </w:r>
          </w:hyperlink>
        </w:p>
        <w:p w:rsidR="00C9603E" w:rsidRPr="00F24CEC" w:rsidRDefault="000D436E" w:rsidP="00C9603E">
          <w:pPr>
            <w:pStyle w:val="ListParagraph"/>
            <w:widowControl w:val="0"/>
            <w:autoSpaceDE w:val="0"/>
            <w:autoSpaceDN w:val="0"/>
            <w:adjustRightInd w:val="0"/>
            <w:jc w:val="both"/>
            <w:rPr>
              <w:noProof/>
              <w:szCs w:val="24"/>
            </w:rPr>
          </w:pPr>
        </w:p>
      </w:sdtContent>
    </w:sdt>
    <w:p w:rsidR="00C9603E" w:rsidRPr="00F24CEC" w:rsidRDefault="00C9603E" w:rsidP="00C9603E">
      <w:pPr>
        <w:spacing w:line="276" w:lineRule="auto"/>
        <w:ind w:right="-59"/>
        <w:jc w:val="both"/>
      </w:pPr>
      <w:r w:rsidRPr="00F24CEC">
        <w:fldChar w:fldCharType="end"/>
      </w:r>
    </w:p>
    <w:p w:rsidR="00C9603E" w:rsidRPr="00F24CEC" w:rsidRDefault="00C9603E" w:rsidP="00C9603E">
      <w:pPr>
        <w:pBdr>
          <w:top w:val="nil"/>
          <w:left w:val="nil"/>
          <w:bottom w:val="nil"/>
          <w:right w:val="nil"/>
          <w:between w:val="nil"/>
        </w:pBdr>
        <w:spacing w:line="276" w:lineRule="auto"/>
        <w:ind w:right="-59"/>
        <w:jc w:val="both"/>
      </w:pPr>
    </w:p>
    <w:p w:rsidR="00C9603E" w:rsidRPr="00F24CEC" w:rsidRDefault="00C9603E" w:rsidP="00C9603E"/>
    <w:p w:rsidR="00C9603E" w:rsidRPr="00F24CEC" w:rsidRDefault="00C9603E" w:rsidP="00C9603E">
      <w:pPr>
        <w:pStyle w:val="ListParagraph"/>
        <w:widowControl w:val="0"/>
        <w:autoSpaceDE w:val="0"/>
        <w:autoSpaceDN w:val="0"/>
        <w:adjustRightInd w:val="0"/>
        <w:jc w:val="both"/>
      </w:pPr>
    </w:p>
    <w:p w:rsidR="00C9603E" w:rsidRPr="00F24CEC" w:rsidRDefault="00C9603E" w:rsidP="00C9603E">
      <w:pPr>
        <w:pBdr>
          <w:top w:val="nil"/>
          <w:left w:val="nil"/>
          <w:bottom w:val="nil"/>
          <w:right w:val="nil"/>
          <w:between w:val="nil"/>
        </w:pBdr>
        <w:spacing w:line="276" w:lineRule="auto"/>
        <w:ind w:right="-59"/>
        <w:jc w:val="both"/>
      </w:pPr>
    </w:p>
    <w:p w:rsidR="00C9603E" w:rsidRPr="00F24CEC" w:rsidRDefault="00C9603E" w:rsidP="00C9603E"/>
    <w:p w:rsidR="007C5221" w:rsidRPr="00F24CEC" w:rsidRDefault="007C5221" w:rsidP="00C9603E">
      <w:pPr>
        <w:pStyle w:val="Heading1"/>
        <w:suppressAutoHyphens/>
      </w:pPr>
    </w:p>
    <w:sectPr w:rsidR="007C5221" w:rsidRPr="00F24CEC"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36E" w:rsidRDefault="000D436E">
      <w:r>
        <w:separator/>
      </w:r>
    </w:p>
  </w:endnote>
  <w:endnote w:type="continuationSeparator" w:id="0">
    <w:p w:rsidR="000D436E" w:rsidRDefault="000D4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98D" w:rsidRPr="00786076" w:rsidRDefault="00662EC3"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C479A9" w:rsidRPr="00C479A9">
      <w:rPr>
        <w:rFonts w:eastAsiaTheme="majorEastAsia"/>
        <w:noProof/>
      </w:rPr>
      <w:t>1</w:t>
    </w:r>
    <w:r w:rsidRPr="00786076">
      <w:rPr>
        <w:rFonts w:eastAsiaTheme="majorEastAsia"/>
        <w:noProof/>
      </w:rPr>
      <w:fldChar w:fldCharType="end"/>
    </w:r>
  </w:p>
  <w:p w:rsidR="002A01C2" w:rsidRPr="00786076" w:rsidRDefault="000D436E" w:rsidP="00786076">
    <w:pPr>
      <w:pStyle w:val="Footer"/>
      <w:tabs>
        <w:tab w:val="clear" w:pos="864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36E" w:rsidRDefault="000D436E">
      <w:r>
        <w:separator/>
      </w:r>
    </w:p>
  </w:footnote>
  <w:footnote w:type="continuationSeparator" w:id="0">
    <w:p w:rsidR="000D436E" w:rsidRDefault="000D4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CF" w:rsidRPr="00751292" w:rsidRDefault="00662EC3"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rsidR="00020CCF" w:rsidRPr="00751292" w:rsidRDefault="00662EC3"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rsidR="00020CCF" w:rsidRPr="00751292" w:rsidRDefault="00662EC3"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fldChar w:fldCharType="separate"/>
    </w:r>
    <w:proofErr w:type="spellStart"/>
    <w:r w:rsidRPr="00751292">
      <w:rPr>
        <w:b/>
        <w:color w:val="0000FF"/>
        <w:szCs w:val="24"/>
        <w:u w:val="single"/>
        <w:lang w:val="en-IN"/>
      </w:rPr>
      <w:t>Vol</w:t>
    </w:r>
    <w:proofErr w:type="spellEnd"/>
    <w:r w:rsidRPr="00751292">
      <w:rPr>
        <w:b/>
        <w:color w:val="0000FF"/>
        <w:szCs w:val="24"/>
        <w:u w:val="single"/>
        <w:lang w:val="en-IN"/>
      </w:rPr>
      <w:t>-</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rsidR="00020CCF" w:rsidRPr="00751292" w:rsidRDefault="00662EC3"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rsidR="00020CCF" w:rsidRPr="0026733C" w:rsidRDefault="000D436E" w:rsidP="00020CCF">
    <w:pPr>
      <w:pStyle w:val="Header"/>
      <w:rPr>
        <w:szCs w:val="24"/>
      </w:rPr>
    </w:pPr>
    <w:hyperlink r:id="rId2" w:history="1">
      <w:r w:rsidR="00662EC3" w:rsidRPr="0026733C">
        <w:rPr>
          <w:rStyle w:val="Hyperlink"/>
          <w:szCs w:val="24"/>
        </w:rPr>
        <w:t>https://jurnal.stie-aas.ac.id/index.php/IJEBAR</w:t>
      </w:r>
    </w:hyperlink>
    <w:r w:rsidR="00662EC3" w:rsidRPr="0026733C">
      <w:rPr>
        <w:szCs w:val="24"/>
      </w:rPr>
      <w:t xml:space="preserve"> </w:t>
    </w:r>
  </w:p>
  <w:p w:rsidR="001D0642" w:rsidRPr="00486F2C" w:rsidRDefault="000D436E" w:rsidP="00486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00C68"/>
    <w:multiLevelType w:val="multilevel"/>
    <w:tmpl w:val="13B00C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6B51E5"/>
    <w:multiLevelType w:val="multilevel"/>
    <w:tmpl w:val="156B51E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EF05DE2"/>
    <w:multiLevelType w:val="multilevel"/>
    <w:tmpl w:val="2EF05DE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2F063A44"/>
    <w:multiLevelType w:val="multilevel"/>
    <w:tmpl w:val="2F063A4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3CC640D0"/>
    <w:multiLevelType w:val="multilevel"/>
    <w:tmpl w:val="3CC64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5FA47BF"/>
    <w:multiLevelType w:val="multilevel"/>
    <w:tmpl w:val="45FA47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CAD5039"/>
    <w:multiLevelType w:val="multilevel"/>
    <w:tmpl w:val="4CAD503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57301356"/>
    <w:multiLevelType w:val="hybridMultilevel"/>
    <w:tmpl w:val="114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722D60"/>
    <w:multiLevelType w:val="multilevel"/>
    <w:tmpl w:val="59722D60"/>
    <w:lvl w:ilvl="0">
      <w:start w:val="1"/>
      <w:numFmt w:val="lowerLetter"/>
      <w:lvlText w:val="%1)"/>
      <w:lvlJc w:val="left"/>
      <w:pPr>
        <w:ind w:left="1854" w:hanging="360"/>
      </w:pPr>
      <w:rPr>
        <w:rFonts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9"/>
  </w:num>
  <w:num w:numId="2">
    <w:abstractNumId w:val="4"/>
  </w:num>
  <w:num w:numId="3">
    <w:abstractNumId w:val="3"/>
  </w:num>
  <w:num w:numId="4">
    <w:abstractNumId w:val="1"/>
  </w:num>
  <w:num w:numId="5">
    <w:abstractNumId w:val="2"/>
  </w:num>
  <w:num w:numId="6">
    <w:abstractNumId w:val="5"/>
  </w:num>
  <w:num w:numId="7">
    <w:abstractNumId w:val="8"/>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EC3"/>
    <w:rsid w:val="000D436E"/>
    <w:rsid w:val="001456D2"/>
    <w:rsid w:val="002C6B8C"/>
    <w:rsid w:val="0040120D"/>
    <w:rsid w:val="00662EC3"/>
    <w:rsid w:val="007C5221"/>
    <w:rsid w:val="009D1B6F"/>
    <w:rsid w:val="00A570A2"/>
    <w:rsid w:val="00C479A9"/>
    <w:rsid w:val="00C60A17"/>
    <w:rsid w:val="00C9603E"/>
    <w:rsid w:val="00D17AD1"/>
    <w:rsid w:val="00DF1481"/>
    <w:rsid w:val="00F24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EC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62EC3"/>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2EC3"/>
    <w:rPr>
      <w:rFonts w:ascii="Times New Roman" w:eastAsia="Times New Roman" w:hAnsi="Times New Roman" w:cs="Times New Roman"/>
      <w:b/>
      <w:i/>
      <w:sz w:val="40"/>
      <w:szCs w:val="20"/>
    </w:rPr>
  </w:style>
  <w:style w:type="character" w:styleId="Hyperlink">
    <w:name w:val="Hyperlink"/>
    <w:basedOn w:val="DefaultParagraphFont"/>
    <w:rsid w:val="00662EC3"/>
    <w:rPr>
      <w:color w:val="0000FF"/>
      <w:u w:val="single"/>
    </w:rPr>
  </w:style>
  <w:style w:type="character" w:customStyle="1" w:styleId="TitleChar">
    <w:name w:val="Title Char"/>
    <w:basedOn w:val="DefaultParagraphFont"/>
    <w:link w:val="Title"/>
    <w:rsid w:val="00662EC3"/>
    <w:rPr>
      <w:rFonts w:eastAsia="Times New Roman"/>
      <w:b/>
      <w:sz w:val="20"/>
    </w:rPr>
  </w:style>
  <w:style w:type="character" w:customStyle="1" w:styleId="FooterChar">
    <w:name w:val="Footer Char"/>
    <w:basedOn w:val="DefaultParagraphFont"/>
    <w:link w:val="Footer"/>
    <w:uiPriority w:val="99"/>
    <w:rsid w:val="00662EC3"/>
    <w:rPr>
      <w:rFonts w:eastAsia="Times New Roman"/>
    </w:rPr>
  </w:style>
  <w:style w:type="paragraph" w:styleId="Footer">
    <w:name w:val="footer"/>
    <w:basedOn w:val="Normal"/>
    <w:link w:val="FooterChar"/>
    <w:uiPriority w:val="99"/>
    <w:rsid w:val="00662EC3"/>
    <w:pPr>
      <w:tabs>
        <w:tab w:val="center" w:pos="4320"/>
        <w:tab w:val="right" w:pos="8640"/>
      </w:tabs>
    </w:pPr>
    <w:rPr>
      <w:rFonts w:asciiTheme="minorHAnsi" w:hAnsiTheme="minorHAnsi" w:cstheme="minorBidi"/>
      <w:sz w:val="22"/>
      <w:szCs w:val="22"/>
    </w:rPr>
  </w:style>
  <w:style w:type="character" w:customStyle="1" w:styleId="FooterChar1">
    <w:name w:val="Footer Char1"/>
    <w:basedOn w:val="DefaultParagraphFont"/>
    <w:uiPriority w:val="99"/>
    <w:semiHidden/>
    <w:rsid w:val="00662EC3"/>
    <w:rPr>
      <w:rFonts w:ascii="Times New Roman" w:eastAsia="Times New Roman" w:hAnsi="Times New Roman" w:cs="Times New Roman"/>
      <w:sz w:val="24"/>
      <w:szCs w:val="20"/>
    </w:rPr>
  </w:style>
  <w:style w:type="paragraph" w:customStyle="1" w:styleId="PageNumber1">
    <w:name w:val="Page Number1"/>
    <w:basedOn w:val="Normal"/>
    <w:rsid w:val="00662EC3"/>
    <w:pPr>
      <w:suppressAutoHyphens/>
      <w:jc w:val="center"/>
    </w:pPr>
    <w:rPr>
      <w:rFonts w:ascii="Times" w:hAnsi="Times"/>
      <w:lang w:eastAsia="ar-SA"/>
    </w:rPr>
  </w:style>
  <w:style w:type="paragraph" w:styleId="Title">
    <w:name w:val="Title"/>
    <w:basedOn w:val="Normal"/>
    <w:link w:val="TitleChar"/>
    <w:qFormat/>
    <w:rsid w:val="00662EC3"/>
    <w:pPr>
      <w:jc w:val="center"/>
    </w:pPr>
    <w:rPr>
      <w:rFonts w:asciiTheme="minorHAnsi" w:hAnsiTheme="minorHAnsi" w:cstheme="minorBidi"/>
      <w:b/>
      <w:sz w:val="20"/>
      <w:szCs w:val="22"/>
    </w:rPr>
  </w:style>
  <w:style w:type="character" w:customStyle="1" w:styleId="TitleChar1">
    <w:name w:val="Title Char1"/>
    <w:basedOn w:val="DefaultParagraphFont"/>
    <w:uiPriority w:val="10"/>
    <w:rsid w:val="00662EC3"/>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unhideWhenUsed/>
    <w:rsid w:val="00662EC3"/>
    <w:pPr>
      <w:spacing w:after="120"/>
    </w:pPr>
  </w:style>
  <w:style w:type="character" w:customStyle="1" w:styleId="BodyTextChar">
    <w:name w:val="Body Text Char"/>
    <w:basedOn w:val="DefaultParagraphFont"/>
    <w:link w:val="BodyText"/>
    <w:uiPriority w:val="99"/>
    <w:rsid w:val="00662EC3"/>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662EC3"/>
    <w:pPr>
      <w:ind w:left="720"/>
      <w:contextualSpacing/>
    </w:pPr>
  </w:style>
  <w:style w:type="paragraph" w:styleId="Header">
    <w:name w:val="header"/>
    <w:basedOn w:val="Normal"/>
    <w:link w:val="HeaderChar"/>
    <w:uiPriority w:val="99"/>
    <w:unhideWhenUsed/>
    <w:rsid w:val="00662EC3"/>
    <w:pPr>
      <w:tabs>
        <w:tab w:val="center" w:pos="4680"/>
        <w:tab w:val="right" w:pos="9360"/>
      </w:tabs>
    </w:pPr>
  </w:style>
  <w:style w:type="character" w:customStyle="1" w:styleId="HeaderChar">
    <w:name w:val="Header Char"/>
    <w:basedOn w:val="DefaultParagraphFont"/>
    <w:link w:val="Header"/>
    <w:uiPriority w:val="99"/>
    <w:rsid w:val="00662EC3"/>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662EC3"/>
    <w:pPr>
      <w:widowControl w:val="0"/>
      <w:autoSpaceDE w:val="0"/>
      <w:autoSpaceDN w:val="0"/>
    </w:pPr>
    <w:rPr>
      <w:rFonts w:ascii="Cambria" w:eastAsia="Cambria" w:hAnsi="Cambria" w:cs="Cambria"/>
      <w:sz w:val="22"/>
      <w:szCs w:val="22"/>
    </w:rPr>
  </w:style>
  <w:style w:type="paragraph" w:customStyle="1" w:styleId="NoSpacing1">
    <w:name w:val="No Spacing1"/>
    <w:uiPriority w:val="1"/>
    <w:qFormat/>
    <w:rsid w:val="00662EC3"/>
    <w:pPr>
      <w:spacing w:after="0" w:line="240" w:lineRule="auto"/>
    </w:pPr>
  </w:style>
  <w:style w:type="character" w:customStyle="1" w:styleId="hgkelc">
    <w:name w:val="hgkelc"/>
    <w:basedOn w:val="DefaultParagraphFont"/>
    <w:rsid w:val="00662EC3"/>
  </w:style>
  <w:style w:type="paragraph" w:customStyle="1" w:styleId="ListParagraph1">
    <w:name w:val="List Paragraph1"/>
    <w:basedOn w:val="Normal"/>
    <w:uiPriority w:val="34"/>
    <w:qFormat/>
    <w:rsid w:val="00662EC3"/>
    <w:pPr>
      <w:spacing w:after="200" w:line="276" w:lineRule="auto"/>
      <w:ind w:left="720"/>
      <w:contextualSpacing/>
    </w:pPr>
    <w:rPr>
      <w:rFonts w:asciiTheme="minorHAnsi" w:eastAsiaTheme="minorHAnsi" w:hAnsiTheme="minorHAnsi" w:cstheme="minorBidi"/>
      <w:kern w:val="2"/>
      <w:sz w:val="22"/>
      <w:szCs w:val="22"/>
    </w:rPr>
  </w:style>
  <w:style w:type="character" w:customStyle="1" w:styleId="ListParagraphChar">
    <w:name w:val="List Paragraph Char"/>
    <w:link w:val="ListParagraph"/>
    <w:uiPriority w:val="34"/>
    <w:locked/>
    <w:rsid w:val="00662EC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9603E"/>
    <w:rPr>
      <w:rFonts w:ascii="Tahoma" w:hAnsi="Tahoma" w:cs="Tahoma"/>
      <w:sz w:val="16"/>
      <w:szCs w:val="16"/>
    </w:rPr>
  </w:style>
  <w:style w:type="character" w:customStyle="1" w:styleId="BalloonTextChar">
    <w:name w:val="Balloon Text Char"/>
    <w:basedOn w:val="DefaultParagraphFont"/>
    <w:link w:val="BalloonText"/>
    <w:uiPriority w:val="99"/>
    <w:semiHidden/>
    <w:rsid w:val="00C9603E"/>
    <w:rPr>
      <w:rFonts w:ascii="Tahoma" w:eastAsia="Times New Roman" w:hAnsi="Tahoma" w:cs="Tahoma"/>
      <w:sz w:val="16"/>
      <w:szCs w:val="16"/>
    </w:rPr>
  </w:style>
  <w:style w:type="table" w:styleId="TableGrid">
    <w:name w:val="Table Grid"/>
    <w:basedOn w:val="TableNormal"/>
    <w:uiPriority w:val="39"/>
    <w:rsid w:val="00C9603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EC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62EC3"/>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2EC3"/>
    <w:rPr>
      <w:rFonts w:ascii="Times New Roman" w:eastAsia="Times New Roman" w:hAnsi="Times New Roman" w:cs="Times New Roman"/>
      <w:b/>
      <w:i/>
      <w:sz w:val="40"/>
      <w:szCs w:val="20"/>
    </w:rPr>
  </w:style>
  <w:style w:type="character" w:styleId="Hyperlink">
    <w:name w:val="Hyperlink"/>
    <w:basedOn w:val="DefaultParagraphFont"/>
    <w:rsid w:val="00662EC3"/>
    <w:rPr>
      <w:color w:val="0000FF"/>
      <w:u w:val="single"/>
    </w:rPr>
  </w:style>
  <w:style w:type="character" w:customStyle="1" w:styleId="TitleChar">
    <w:name w:val="Title Char"/>
    <w:basedOn w:val="DefaultParagraphFont"/>
    <w:link w:val="Title"/>
    <w:rsid w:val="00662EC3"/>
    <w:rPr>
      <w:rFonts w:eastAsia="Times New Roman"/>
      <w:b/>
      <w:sz w:val="20"/>
    </w:rPr>
  </w:style>
  <w:style w:type="character" w:customStyle="1" w:styleId="FooterChar">
    <w:name w:val="Footer Char"/>
    <w:basedOn w:val="DefaultParagraphFont"/>
    <w:link w:val="Footer"/>
    <w:uiPriority w:val="99"/>
    <w:rsid w:val="00662EC3"/>
    <w:rPr>
      <w:rFonts w:eastAsia="Times New Roman"/>
    </w:rPr>
  </w:style>
  <w:style w:type="paragraph" w:styleId="Footer">
    <w:name w:val="footer"/>
    <w:basedOn w:val="Normal"/>
    <w:link w:val="FooterChar"/>
    <w:uiPriority w:val="99"/>
    <w:rsid w:val="00662EC3"/>
    <w:pPr>
      <w:tabs>
        <w:tab w:val="center" w:pos="4320"/>
        <w:tab w:val="right" w:pos="8640"/>
      </w:tabs>
    </w:pPr>
    <w:rPr>
      <w:rFonts w:asciiTheme="minorHAnsi" w:hAnsiTheme="minorHAnsi" w:cstheme="minorBidi"/>
      <w:sz w:val="22"/>
      <w:szCs w:val="22"/>
    </w:rPr>
  </w:style>
  <w:style w:type="character" w:customStyle="1" w:styleId="FooterChar1">
    <w:name w:val="Footer Char1"/>
    <w:basedOn w:val="DefaultParagraphFont"/>
    <w:uiPriority w:val="99"/>
    <w:semiHidden/>
    <w:rsid w:val="00662EC3"/>
    <w:rPr>
      <w:rFonts w:ascii="Times New Roman" w:eastAsia="Times New Roman" w:hAnsi="Times New Roman" w:cs="Times New Roman"/>
      <w:sz w:val="24"/>
      <w:szCs w:val="20"/>
    </w:rPr>
  </w:style>
  <w:style w:type="paragraph" w:customStyle="1" w:styleId="PageNumber1">
    <w:name w:val="Page Number1"/>
    <w:basedOn w:val="Normal"/>
    <w:rsid w:val="00662EC3"/>
    <w:pPr>
      <w:suppressAutoHyphens/>
      <w:jc w:val="center"/>
    </w:pPr>
    <w:rPr>
      <w:rFonts w:ascii="Times" w:hAnsi="Times"/>
      <w:lang w:eastAsia="ar-SA"/>
    </w:rPr>
  </w:style>
  <w:style w:type="paragraph" w:styleId="Title">
    <w:name w:val="Title"/>
    <w:basedOn w:val="Normal"/>
    <w:link w:val="TitleChar"/>
    <w:qFormat/>
    <w:rsid w:val="00662EC3"/>
    <w:pPr>
      <w:jc w:val="center"/>
    </w:pPr>
    <w:rPr>
      <w:rFonts w:asciiTheme="minorHAnsi" w:hAnsiTheme="minorHAnsi" w:cstheme="minorBidi"/>
      <w:b/>
      <w:sz w:val="20"/>
      <w:szCs w:val="22"/>
    </w:rPr>
  </w:style>
  <w:style w:type="character" w:customStyle="1" w:styleId="TitleChar1">
    <w:name w:val="Title Char1"/>
    <w:basedOn w:val="DefaultParagraphFont"/>
    <w:uiPriority w:val="10"/>
    <w:rsid w:val="00662EC3"/>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unhideWhenUsed/>
    <w:rsid w:val="00662EC3"/>
    <w:pPr>
      <w:spacing w:after="120"/>
    </w:pPr>
  </w:style>
  <w:style w:type="character" w:customStyle="1" w:styleId="BodyTextChar">
    <w:name w:val="Body Text Char"/>
    <w:basedOn w:val="DefaultParagraphFont"/>
    <w:link w:val="BodyText"/>
    <w:uiPriority w:val="99"/>
    <w:rsid w:val="00662EC3"/>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662EC3"/>
    <w:pPr>
      <w:ind w:left="720"/>
      <w:contextualSpacing/>
    </w:pPr>
  </w:style>
  <w:style w:type="paragraph" w:styleId="Header">
    <w:name w:val="header"/>
    <w:basedOn w:val="Normal"/>
    <w:link w:val="HeaderChar"/>
    <w:uiPriority w:val="99"/>
    <w:unhideWhenUsed/>
    <w:rsid w:val="00662EC3"/>
    <w:pPr>
      <w:tabs>
        <w:tab w:val="center" w:pos="4680"/>
        <w:tab w:val="right" w:pos="9360"/>
      </w:tabs>
    </w:pPr>
  </w:style>
  <w:style w:type="character" w:customStyle="1" w:styleId="HeaderChar">
    <w:name w:val="Header Char"/>
    <w:basedOn w:val="DefaultParagraphFont"/>
    <w:link w:val="Header"/>
    <w:uiPriority w:val="99"/>
    <w:rsid w:val="00662EC3"/>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662EC3"/>
    <w:pPr>
      <w:widowControl w:val="0"/>
      <w:autoSpaceDE w:val="0"/>
      <w:autoSpaceDN w:val="0"/>
    </w:pPr>
    <w:rPr>
      <w:rFonts w:ascii="Cambria" w:eastAsia="Cambria" w:hAnsi="Cambria" w:cs="Cambria"/>
      <w:sz w:val="22"/>
      <w:szCs w:val="22"/>
    </w:rPr>
  </w:style>
  <w:style w:type="paragraph" w:customStyle="1" w:styleId="NoSpacing1">
    <w:name w:val="No Spacing1"/>
    <w:uiPriority w:val="1"/>
    <w:qFormat/>
    <w:rsid w:val="00662EC3"/>
    <w:pPr>
      <w:spacing w:after="0" w:line="240" w:lineRule="auto"/>
    </w:pPr>
  </w:style>
  <w:style w:type="character" w:customStyle="1" w:styleId="hgkelc">
    <w:name w:val="hgkelc"/>
    <w:basedOn w:val="DefaultParagraphFont"/>
    <w:rsid w:val="00662EC3"/>
  </w:style>
  <w:style w:type="paragraph" w:customStyle="1" w:styleId="ListParagraph1">
    <w:name w:val="List Paragraph1"/>
    <w:basedOn w:val="Normal"/>
    <w:uiPriority w:val="34"/>
    <w:qFormat/>
    <w:rsid w:val="00662EC3"/>
    <w:pPr>
      <w:spacing w:after="200" w:line="276" w:lineRule="auto"/>
      <w:ind w:left="720"/>
      <w:contextualSpacing/>
    </w:pPr>
    <w:rPr>
      <w:rFonts w:asciiTheme="minorHAnsi" w:eastAsiaTheme="minorHAnsi" w:hAnsiTheme="minorHAnsi" w:cstheme="minorBidi"/>
      <w:kern w:val="2"/>
      <w:sz w:val="22"/>
      <w:szCs w:val="22"/>
    </w:rPr>
  </w:style>
  <w:style w:type="character" w:customStyle="1" w:styleId="ListParagraphChar">
    <w:name w:val="List Paragraph Char"/>
    <w:link w:val="ListParagraph"/>
    <w:uiPriority w:val="34"/>
    <w:locked/>
    <w:rsid w:val="00662EC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9603E"/>
    <w:rPr>
      <w:rFonts w:ascii="Tahoma" w:hAnsi="Tahoma" w:cs="Tahoma"/>
      <w:sz w:val="16"/>
      <w:szCs w:val="16"/>
    </w:rPr>
  </w:style>
  <w:style w:type="character" w:customStyle="1" w:styleId="BalloonTextChar">
    <w:name w:val="Balloon Text Char"/>
    <w:basedOn w:val="DefaultParagraphFont"/>
    <w:link w:val="BalloonText"/>
    <w:uiPriority w:val="99"/>
    <w:semiHidden/>
    <w:rsid w:val="00C9603E"/>
    <w:rPr>
      <w:rFonts w:ascii="Tahoma" w:eastAsia="Times New Roman" w:hAnsi="Tahoma" w:cs="Tahoma"/>
      <w:sz w:val="16"/>
      <w:szCs w:val="16"/>
    </w:rPr>
  </w:style>
  <w:style w:type="table" w:styleId="TableGrid">
    <w:name w:val="Table Grid"/>
    <w:basedOn w:val="TableNormal"/>
    <w:uiPriority w:val="39"/>
    <w:rsid w:val="00C9603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casyariah.co.id/tanggung-jawab-sosial-perusahaa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jk.go.id/id/Default.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bankmuamalat.co.id/index.php/hubungan-investor/laporan-tahunan" TargetMode="External"/><Relationship Id="rId10" Type="http://schemas.openxmlformats.org/officeDocument/2006/relationships/hyperlink" Target="mailto:nursantriyanti@uinsu.ac.id" TargetMode="External"/><Relationship Id="rId4" Type="http://schemas.microsoft.com/office/2007/relationships/stylesWithEffects" Target="stylesWithEffects.xml"/><Relationship Id="rId9" Type="http://schemas.openxmlformats.org/officeDocument/2006/relationships/hyperlink" Target="mailto:tuti.anggraini@uinsu.ac.id" TargetMode="External"/><Relationship Id="rId14" Type="http://schemas.openxmlformats.org/officeDocument/2006/relationships/hyperlink" Target="https://ir.bankbsi.co.id/annual_reports.html"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Mub19</b:Tag>
    <b:SourceType>JournalArticle</b:SourceType>
    <b:Guid>{38C9F497-BCFF-490A-823B-8302DCD9D467}</b:Guid>
    <b:Author>
      <b:Author>
        <b:NameList>
          <b:Person>
            <b:Last>Mubarak</b:Last>
            <b:First>D.,</b:First>
            <b:Middle>Pramono, S., &amp; Bayinah, A. N</b:Middle>
          </b:Person>
        </b:NameList>
      </b:Author>
    </b:Author>
    <b:Title>Pengungkapan Kinerja Sosial Perbankan Syariah di Indonesia Menggunakan Islamic Social Reporting.</b:Title>
    <b:JournalName>Jurnal Ekonomi dan Keuangan Islam</b:JournalName>
    <b:Year>2019</b:Year>
    <b:Pages>37-58</b:Pages>
    <b:Volume>7</b:Volume>
    <b:Issue>1</b:Issue>
    <b:RefOrder>1</b:RefOrder>
  </b:Source>
  <b:Source>
    <b:Tag>Rui16</b:Tag>
    <b:SourceType>JournalArticle</b:SourceType>
    <b:Guid>{63642376-6CE1-414F-9C24-EC0482706246}</b:Guid>
    <b:Author>
      <b:Author>
        <b:NameList>
          <b:Person>
            <b:Last>Ruiz</b:Last>
            <b:First>B.,</b:First>
            <b:Middle>García, J. A., &amp; Revilla, A. J.</b:Middle>
          </b:Person>
        </b:NameList>
      </b:Author>
    </b:Author>
    <b:Title>Antecedents and Consequences of Bank Reputation: A Comparison of the United Kingdom and Spain.</b:Title>
    <b:JournalName>International Marketing Review</b:JournalName>
    <b:Year>2016</b:Year>
    <b:Pages>791-805</b:Pages>
    <b:Volume>33</b:Volume>
    <b:Issue>6</b:Issue>
    <b:RefOrder>2</b:RefOrder>
  </b:Source>
</b:Sources>
</file>

<file path=customXml/itemProps1.xml><?xml version="1.0" encoding="utf-8"?>
<ds:datastoreItem xmlns:ds="http://schemas.openxmlformats.org/officeDocument/2006/customXml" ds:itemID="{5F375F20-323C-4FFD-AA3C-E66D80010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4177</Words>
  <Characters>23810</Characters>
  <Application>Microsoft Office Word</Application>
  <DocSecurity>0</DocSecurity>
  <Lines>198</Lines>
  <Paragraphs>55</Paragraphs>
  <ScaleCrop>false</ScaleCrop>
  <Company/>
  <LinksUpToDate>false</LinksUpToDate>
  <CharactersWithSpaces>27932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11</cp:revision>
  <dcterms:created xsi:type="dcterms:W3CDTF">2023-09-17T07:45:00Z</dcterms:created>
  <dcterms:modified xsi:type="dcterms:W3CDTF">2023-09-17T08:12:00Z</dcterms:modified>
</cp:coreProperties>
</file>