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8206" w14:textId="77777777" w:rsidR="004419EB" w:rsidRPr="006805CA" w:rsidRDefault="004419EB" w:rsidP="004419EB">
      <w:pPr>
        <w:spacing w:before="195"/>
        <w:ind w:right="3665"/>
        <w:rPr>
          <w:sz w:val="96"/>
          <w:szCs w:val="24"/>
        </w:rPr>
      </w:pPr>
      <w:r w:rsidRPr="006805CA">
        <w:rPr>
          <w:color w:val="333333"/>
          <w:spacing w:val="-2"/>
          <w:w w:val="54"/>
          <w:sz w:val="96"/>
          <w:szCs w:val="24"/>
        </w:rPr>
        <w:t>Performance as The Anchor: Mitigating The Impact of Financial Risk and Distress on LQ45 Stock Returns in Indonesia</w:t>
      </w:r>
    </w:p>
    <w:p w14:paraId="3CBBEB55" w14:textId="77777777" w:rsidR="004419EB" w:rsidRPr="006805CA" w:rsidRDefault="004419EB" w:rsidP="004419EB">
      <w:pPr>
        <w:spacing w:before="195"/>
        <w:ind w:right="3665"/>
        <w:rPr>
          <w:sz w:val="72"/>
        </w:rPr>
      </w:pPr>
      <w:r>
        <w:rPr>
          <w:rFonts w:ascii="Open Sans"/>
          <w:i/>
          <w:color w:val="333333"/>
          <w:w w:val="105"/>
          <w:sz w:val="31"/>
        </w:rPr>
        <w:t xml:space="preserve">by </w:t>
      </w:r>
      <w:r>
        <w:rPr>
          <w:color w:val="333333"/>
          <w:w w:val="105"/>
          <w:sz w:val="31"/>
        </w:rPr>
        <w:t>Ina Laila Khuzairina</w:t>
      </w:r>
    </w:p>
    <w:p w14:paraId="103FFCD7" w14:textId="77777777" w:rsidR="004419EB" w:rsidRDefault="004419EB" w:rsidP="004419EB">
      <w:pPr>
        <w:pStyle w:val="TeksIsi"/>
        <w:rPr>
          <w:sz w:val="20"/>
        </w:rPr>
      </w:pPr>
    </w:p>
    <w:p w14:paraId="01D3793C" w14:textId="77777777" w:rsidR="004419EB" w:rsidRDefault="004419EB" w:rsidP="004419EB">
      <w:pPr>
        <w:pStyle w:val="TeksIsi"/>
        <w:rPr>
          <w:sz w:val="20"/>
        </w:rPr>
      </w:pPr>
    </w:p>
    <w:p w14:paraId="28DE9DF5" w14:textId="77777777" w:rsidR="004419EB" w:rsidRDefault="004419EB" w:rsidP="004419EB">
      <w:pPr>
        <w:pStyle w:val="TeksIsi"/>
        <w:rPr>
          <w:sz w:val="20"/>
        </w:rPr>
      </w:pPr>
    </w:p>
    <w:p w14:paraId="7F5E8B75" w14:textId="77777777" w:rsidR="004419EB" w:rsidRDefault="004419EB" w:rsidP="004419EB">
      <w:pPr>
        <w:pStyle w:val="TeksIsi"/>
        <w:rPr>
          <w:sz w:val="20"/>
        </w:rPr>
      </w:pPr>
    </w:p>
    <w:p w14:paraId="4FE22713" w14:textId="77777777" w:rsidR="004419EB" w:rsidRDefault="004419EB" w:rsidP="004419EB">
      <w:pPr>
        <w:pStyle w:val="TeksIsi"/>
        <w:rPr>
          <w:sz w:val="20"/>
        </w:rPr>
      </w:pPr>
    </w:p>
    <w:p w14:paraId="2EDC3F5C" w14:textId="77777777" w:rsidR="004419EB" w:rsidRDefault="004419EB" w:rsidP="004419EB">
      <w:pPr>
        <w:pStyle w:val="TeksIsi"/>
        <w:rPr>
          <w:sz w:val="20"/>
        </w:rPr>
      </w:pPr>
    </w:p>
    <w:p w14:paraId="4AD75302" w14:textId="77777777" w:rsidR="004419EB" w:rsidRDefault="004419EB" w:rsidP="004419EB">
      <w:pPr>
        <w:pStyle w:val="TeksIsi"/>
        <w:rPr>
          <w:sz w:val="20"/>
        </w:rPr>
      </w:pPr>
    </w:p>
    <w:p w14:paraId="0B20E2A3" w14:textId="77777777" w:rsidR="004419EB" w:rsidRDefault="004419EB" w:rsidP="004419EB">
      <w:pPr>
        <w:pStyle w:val="TeksIsi"/>
        <w:rPr>
          <w:sz w:val="20"/>
        </w:rPr>
      </w:pPr>
    </w:p>
    <w:p w14:paraId="1A859BB1" w14:textId="77777777" w:rsidR="004419EB" w:rsidRDefault="004419EB" w:rsidP="004419EB">
      <w:pPr>
        <w:pStyle w:val="TeksIsi"/>
        <w:rPr>
          <w:sz w:val="20"/>
        </w:rPr>
      </w:pPr>
    </w:p>
    <w:p w14:paraId="6A43BD47" w14:textId="77777777" w:rsidR="004419EB" w:rsidRDefault="004419EB" w:rsidP="004419EB">
      <w:pPr>
        <w:pStyle w:val="TeksIsi"/>
        <w:rPr>
          <w:sz w:val="20"/>
        </w:rPr>
      </w:pPr>
    </w:p>
    <w:p w14:paraId="652778AF" w14:textId="77777777" w:rsidR="004419EB" w:rsidRDefault="004419EB" w:rsidP="004419EB">
      <w:pPr>
        <w:pStyle w:val="TeksIsi"/>
        <w:rPr>
          <w:sz w:val="20"/>
        </w:rPr>
      </w:pPr>
    </w:p>
    <w:p w14:paraId="1665A7F9" w14:textId="77777777" w:rsidR="004419EB" w:rsidRDefault="004419EB" w:rsidP="004419EB">
      <w:pPr>
        <w:pStyle w:val="TeksIsi"/>
        <w:rPr>
          <w:sz w:val="20"/>
        </w:rPr>
      </w:pPr>
    </w:p>
    <w:p w14:paraId="3201EC47" w14:textId="42C627CA" w:rsidR="004419EB" w:rsidRDefault="004419EB" w:rsidP="004419EB">
      <w:pPr>
        <w:pStyle w:val="TeksIsi"/>
        <w:spacing w:before="1"/>
        <w:rPr>
          <w:sz w:val="20"/>
        </w:rPr>
      </w:pPr>
      <w:r>
        <w:rPr>
          <w:noProof/>
          <w:sz w:val="21"/>
        </w:rPr>
        <mc:AlternateContent>
          <mc:Choice Requires="wps">
            <w:drawing>
              <wp:anchor distT="0" distB="0" distL="0" distR="0" simplePos="0" relativeHeight="251659264" behindDoc="1" locked="0" layoutInCell="1" allowOverlap="1" wp14:anchorId="4A89A6C4" wp14:editId="3A49F844">
                <wp:simplePos x="0" y="0"/>
                <wp:positionH relativeFrom="page">
                  <wp:posOffset>431800</wp:posOffset>
                </wp:positionH>
                <wp:positionV relativeFrom="paragraph">
                  <wp:posOffset>171450</wp:posOffset>
                </wp:positionV>
                <wp:extent cx="6788150" cy="9525"/>
                <wp:effectExtent l="0" t="0" r="0" b="0"/>
                <wp:wrapTopAndBottom/>
                <wp:docPr id="1298568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0" cy="952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54886C" id="Rectangle 13" o:spid="_x0000_s1026" style="position:absolute;margin-left:34pt;margin-top:13.5pt;width:534.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" fillcolor="#ccc" stroked="f">
                <w10:wrap type="topAndBottom" anchorx="page"/>
              </v:rect>
            </w:pict>
          </mc:Fallback>
        </mc:AlternateContent>
      </w:r>
    </w:p>
    <w:p w14:paraId="0ED23A9C" w14:textId="77777777" w:rsidR="004419EB" w:rsidRDefault="004419EB" w:rsidP="004419EB">
      <w:pPr>
        <w:pStyle w:val="TeksIsi"/>
        <w:spacing w:before="8"/>
        <w:rPr>
          <w:sz w:val="9"/>
        </w:rPr>
      </w:pPr>
    </w:p>
    <w:p w14:paraId="321F2BD8" w14:textId="77777777" w:rsidR="004419EB" w:rsidRDefault="004419EB" w:rsidP="004419EB">
      <w:pPr>
        <w:spacing w:before="100"/>
        <w:ind w:left="100"/>
        <w:rPr>
          <w:sz w:val="21"/>
        </w:rPr>
      </w:pPr>
      <w:r>
        <w:rPr>
          <w:rFonts w:ascii="Open Sans"/>
          <w:b/>
          <w:color w:val="333333"/>
          <w:spacing w:val="4"/>
          <w:sz w:val="21"/>
        </w:rPr>
        <w:t>S</w:t>
      </w:r>
      <w:r>
        <w:rPr>
          <w:rFonts w:ascii="Open Sans"/>
          <w:b/>
          <w:color w:val="333333"/>
          <w:spacing w:val="-4"/>
          <w:w w:val="106"/>
          <w:sz w:val="21"/>
        </w:rPr>
        <w:t>u</w:t>
      </w:r>
      <w:r>
        <w:rPr>
          <w:rFonts w:ascii="Open Sans"/>
          <w:b/>
          <w:color w:val="333333"/>
          <w:spacing w:val="2"/>
          <w:w w:val="103"/>
          <w:sz w:val="21"/>
        </w:rPr>
        <w:t>b</w:t>
      </w:r>
      <w:r>
        <w:rPr>
          <w:rFonts w:ascii="Open Sans"/>
          <w:b/>
          <w:color w:val="333333"/>
          <w:spacing w:val="3"/>
          <w:w w:val="105"/>
          <w:sz w:val="21"/>
        </w:rPr>
        <w:t>m</w:t>
      </w:r>
      <w:r>
        <w:rPr>
          <w:rFonts w:ascii="Open Sans"/>
          <w:b/>
          <w:color w:val="333333"/>
          <w:spacing w:val="-5"/>
          <w:w w:val="120"/>
          <w:sz w:val="21"/>
        </w:rPr>
        <w:t>i</w:t>
      </w:r>
      <w:r>
        <w:rPr>
          <w:rFonts w:ascii="Open Sans"/>
          <w:b/>
          <w:color w:val="333333"/>
          <w:w w:val="104"/>
          <w:sz w:val="21"/>
        </w:rPr>
        <w:t>ss</w:t>
      </w:r>
      <w:r>
        <w:rPr>
          <w:rFonts w:ascii="Open Sans"/>
          <w:b/>
          <w:color w:val="333333"/>
          <w:spacing w:val="-5"/>
          <w:w w:val="120"/>
          <w:sz w:val="21"/>
        </w:rPr>
        <w:t>i</w:t>
      </w:r>
      <w:r>
        <w:rPr>
          <w:rFonts w:ascii="Open Sans"/>
          <w:b/>
          <w:color w:val="333333"/>
          <w:spacing w:val="4"/>
          <w:w w:val="102"/>
          <w:sz w:val="21"/>
        </w:rPr>
        <w:t>o</w:t>
      </w:r>
      <w:r>
        <w:rPr>
          <w:rFonts w:ascii="Open Sans"/>
          <w:b/>
          <w:color w:val="333333"/>
          <w:w w:val="106"/>
          <w:sz w:val="21"/>
        </w:rPr>
        <w:t>n</w:t>
      </w:r>
      <w:r>
        <w:rPr>
          <w:rFonts w:ascii="Open Sans"/>
          <w:b/>
          <w:color w:val="333333"/>
          <w:spacing w:val="2"/>
          <w:sz w:val="21"/>
        </w:rPr>
        <w:t xml:space="preserve"> </w:t>
      </w:r>
      <w:r>
        <w:rPr>
          <w:rFonts w:ascii="Open Sans"/>
          <w:b/>
          <w:color w:val="333333"/>
          <w:spacing w:val="2"/>
          <w:w w:val="103"/>
          <w:sz w:val="21"/>
        </w:rPr>
        <w:t>d</w:t>
      </w:r>
      <w:r>
        <w:rPr>
          <w:rFonts w:ascii="Open Sans"/>
          <w:b/>
          <w:color w:val="333333"/>
          <w:spacing w:val="-7"/>
          <w:w w:val="108"/>
          <w:sz w:val="21"/>
        </w:rPr>
        <w:t>a</w:t>
      </w:r>
      <w:r>
        <w:rPr>
          <w:rFonts w:ascii="Open Sans"/>
          <w:b/>
          <w:color w:val="333333"/>
          <w:spacing w:val="-2"/>
          <w:w w:val="122"/>
          <w:sz w:val="21"/>
        </w:rPr>
        <w:t>t</w:t>
      </w:r>
      <w:r>
        <w:rPr>
          <w:rFonts w:ascii="Open Sans"/>
          <w:b/>
          <w:color w:val="333333"/>
          <w:spacing w:val="-5"/>
          <w:w w:val="105"/>
          <w:sz w:val="21"/>
        </w:rPr>
        <w:t>e</w:t>
      </w:r>
      <w:r>
        <w:rPr>
          <w:rFonts w:ascii="Open Sans"/>
          <w:b/>
          <w:color w:val="333333"/>
          <w:w w:val="106"/>
          <w:sz w:val="21"/>
        </w:rPr>
        <w:t>:</w:t>
      </w:r>
      <w:r>
        <w:rPr>
          <w:rFonts w:ascii="Open Sans"/>
          <w:b/>
          <w:color w:val="333333"/>
          <w:spacing w:val="5"/>
          <w:sz w:val="21"/>
        </w:rPr>
        <w:t xml:space="preserve"> </w:t>
      </w:r>
      <w:r>
        <w:rPr>
          <w:color w:val="333333"/>
          <w:spacing w:val="-1"/>
          <w:w w:val="102"/>
          <w:sz w:val="21"/>
        </w:rPr>
        <w:t>27</w:t>
      </w:r>
      <w:r>
        <w:rPr>
          <w:color w:val="333333"/>
          <w:spacing w:val="7"/>
          <w:w w:val="96"/>
          <w:sz w:val="21"/>
        </w:rPr>
        <w:t>-</w:t>
      </w:r>
      <w:r>
        <w:rPr>
          <w:color w:val="333333"/>
          <w:spacing w:val="2"/>
          <w:w w:val="54"/>
          <w:sz w:val="21"/>
        </w:rPr>
        <w:t>J</w:t>
      </w:r>
      <w:r>
        <w:rPr>
          <w:color w:val="333333"/>
          <w:spacing w:val="5"/>
          <w:w w:val="111"/>
          <w:sz w:val="21"/>
        </w:rPr>
        <w:t>un</w:t>
      </w:r>
      <w:r>
        <w:rPr>
          <w:color w:val="333333"/>
          <w:spacing w:val="7"/>
          <w:w w:val="96"/>
          <w:sz w:val="21"/>
        </w:rPr>
        <w:t>-</w:t>
      </w:r>
      <w:r>
        <w:rPr>
          <w:color w:val="333333"/>
          <w:spacing w:val="-1"/>
          <w:w w:val="102"/>
          <w:sz w:val="21"/>
        </w:rPr>
        <w:t>202</w:t>
      </w:r>
      <w:r>
        <w:rPr>
          <w:color w:val="333333"/>
          <w:w w:val="102"/>
          <w:sz w:val="21"/>
        </w:rPr>
        <w:t>4</w:t>
      </w:r>
      <w:r>
        <w:rPr>
          <w:color w:val="333333"/>
          <w:spacing w:val="1"/>
          <w:sz w:val="21"/>
        </w:rPr>
        <w:t xml:space="preserve"> </w:t>
      </w:r>
      <w:r>
        <w:rPr>
          <w:color w:val="333333"/>
          <w:spacing w:val="-1"/>
          <w:w w:val="102"/>
          <w:sz w:val="21"/>
        </w:rPr>
        <w:t>12</w:t>
      </w:r>
      <w:r>
        <w:rPr>
          <w:color w:val="333333"/>
          <w:spacing w:val="3"/>
          <w:w w:val="96"/>
          <w:sz w:val="21"/>
        </w:rPr>
        <w:t>:</w:t>
      </w:r>
      <w:r>
        <w:rPr>
          <w:color w:val="333333"/>
          <w:spacing w:val="-1"/>
          <w:w w:val="102"/>
          <w:sz w:val="21"/>
        </w:rPr>
        <w:t>49</w:t>
      </w:r>
      <w:r>
        <w:rPr>
          <w:color w:val="333333"/>
          <w:w w:val="95"/>
          <w:sz w:val="21"/>
        </w:rPr>
        <w:t>A</w:t>
      </w:r>
      <w:r>
        <w:rPr>
          <w:color w:val="333333"/>
          <w:w w:val="108"/>
          <w:sz w:val="21"/>
        </w:rPr>
        <w:t>M</w:t>
      </w:r>
      <w:r>
        <w:rPr>
          <w:color w:val="333333"/>
          <w:spacing w:val="6"/>
          <w:sz w:val="21"/>
        </w:rPr>
        <w:t xml:space="preserve"> </w:t>
      </w:r>
      <w:r>
        <w:rPr>
          <w:color w:val="333333"/>
          <w:spacing w:val="-3"/>
          <w:w w:val="90"/>
          <w:sz w:val="21"/>
        </w:rPr>
        <w:t>(</w:t>
      </w:r>
      <w:r>
        <w:rPr>
          <w:color w:val="333333"/>
          <w:spacing w:val="-4"/>
          <w:w w:val="101"/>
          <w:sz w:val="21"/>
        </w:rPr>
        <w:t>U</w:t>
      </w:r>
      <w:r>
        <w:rPr>
          <w:color w:val="333333"/>
          <w:spacing w:val="3"/>
          <w:w w:val="91"/>
          <w:sz w:val="21"/>
        </w:rPr>
        <w:t>T</w:t>
      </w:r>
      <w:r>
        <w:rPr>
          <w:color w:val="333333"/>
          <w:spacing w:val="2"/>
          <w:w w:val="87"/>
          <w:sz w:val="21"/>
        </w:rPr>
        <w:t>C</w:t>
      </w:r>
      <w:r>
        <w:rPr>
          <w:color w:val="333333"/>
          <w:spacing w:val="7"/>
          <w:w w:val="96"/>
          <w:sz w:val="21"/>
        </w:rPr>
        <w:t>-</w:t>
      </w:r>
      <w:r>
        <w:rPr>
          <w:color w:val="333333"/>
          <w:spacing w:val="-1"/>
          <w:w w:val="102"/>
          <w:sz w:val="21"/>
        </w:rPr>
        <w:t>0400</w:t>
      </w:r>
      <w:r>
        <w:rPr>
          <w:color w:val="333333"/>
          <w:w w:val="90"/>
          <w:sz w:val="21"/>
        </w:rPr>
        <w:t>)</w:t>
      </w:r>
    </w:p>
    <w:p w14:paraId="70E1C7A5" w14:textId="77777777" w:rsidR="004419EB" w:rsidRDefault="004419EB" w:rsidP="004419EB">
      <w:pPr>
        <w:spacing w:before="59"/>
        <w:ind w:left="100"/>
        <w:rPr>
          <w:sz w:val="21"/>
        </w:rPr>
      </w:pPr>
      <w:r>
        <w:rPr>
          <w:rFonts w:ascii="Open Sans"/>
          <w:b/>
          <w:color w:val="333333"/>
          <w:w w:val="105"/>
          <w:sz w:val="21"/>
        </w:rPr>
        <w:t xml:space="preserve">Submission ID: </w:t>
      </w:r>
      <w:r>
        <w:rPr>
          <w:color w:val="333333"/>
          <w:w w:val="105"/>
          <w:sz w:val="21"/>
        </w:rPr>
        <w:t>2409278603</w:t>
      </w:r>
    </w:p>
    <w:p w14:paraId="20B4FE67" w14:textId="77777777" w:rsidR="004419EB" w:rsidRDefault="004419EB" w:rsidP="004419EB">
      <w:pPr>
        <w:spacing w:before="60"/>
        <w:ind w:left="100"/>
        <w:rPr>
          <w:sz w:val="21"/>
        </w:rPr>
      </w:pPr>
      <w:r>
        <w:rPr>
          <w:rFonts w:ascii="Open Sans"/>
          <w:b/>
          <w:color w:val="333333"/>
          <w:spacing w:val="4"/>
          <w:w w:val="106"/>
          <w:sz w:val="21"/>
        </w:rPr>
        <w:t>F</w:t>
      </w:r>
      <w:r>
        <w:rPr>
          <w:rFonts w:ascii="Open Sans"/>
          <w:b/>
          <w:color w:val="333333"/>
          <w:spacing w:val="-5"/>
          <w:w w:val="120"/>
          <w:sz w:val="21"/>
        </w:rPr>
        <w:t>il</w:t>
      </w:r>
      <w:r>
        <w:rPr>
          <w:rFonts w:ascii="Open Sans"/>
          <w:b/>
          <w:color w:val="333333"/>
          <w:w w:val="105"/>
          <w:sz w:val="21"/>
        </w:rPr>
        <w:t>e</w:t>
      </w:r>
      <w:r>
        <w:rPr>
          <w:rFonts w:ascii="Open Sans"/>
          <w:b/>
          <w:color w:val="333333"/>
          <w:spacing w:val="1"/>
          <w:sz w:val="21"/>
        </w:rPr>
        <w:t xml:space="preserve"> </w:t>
      </w:r>
      <w:r>
        <w:rPr>
          <w:rFonts w:ascii="Open Sans"/>
          <w:b/>
          <w:color w:val="333333"/>
          <w:spacing w:val="-4"/>
          <w:w w:val="106"/>
          <w:sz w:val="21"/>
        </w:rPr>
        <w:t>n</w:t>
      </w:r>
      <w:r>
        <w:rPr>
          <w:rFonts w:ascii="Open Sans"/>
          <w:b/>
          <w:color w:val="333333"/>
          <w:spacing w:val="-7"/>
          <w:w w:val="108"/>
          <w:sz w:val="21"/>
        </w:rPr>
        <w:t>a</w:t>
      </w:r>
      <w:r>
        <w:rPr>
          <w:rFonts w:ascii="Open Sans"/>
          <w:b/>
          <w:color w:val="333333"/>
          <w:spacing w:val="3"/>
          <w:w w:val="105"/>
          <w:sz w:val="21"/>
        </w:rPr>
        <w:t>m</w:t>
      </w:r>
      <w:r>
        <w:rPr>
          <w:rFonts w:ascii="Open Sans"/>
          <w:b/>
          <w:color w:val="333333"/>
          <w:spacing w:val="-5"/>
          <w:w w:val="105"/>
          <w:sz w:val="21"/>
        </w:rPr>
        <w:t>e</w:t>
      </w:r>
      <w:r>
        <w:rPr>
          <w:rFonts w:ascii="Open Sans"/>
          <w:b/>
          <w:color w:val="333333"/>
          <w:w w:val="106"/>
          <w:sz w:val="21"/>
        </w:rPr>
        <w:t>:</w:t>
      </w:r>
      <w:r>
        <w:rPr>
          <w:rFonts w:ascii="Open Sans"/>
          <w:b/>
          <w:color w:val="333333"/>
          <w:spacing w:val="5"/>
          <w:sz w:val="21"/>
        </w:rPr>
        <w:t xml:space="preserve"> </w:t>
      </w:r>
      <w:r>
        <w:rPr>
          <w:color w:val="333333"/>
          <w:spacing w:val="2"/>
          <w:w w:val="54"/>
          <w:sz w:val="21"/>
        </w:rPr>
        <w:t>J</w:t>
      </w:r>
      <w:r>
        <w:rPr>
          <w:color w:val="333333"/>
          <w:spacing w:val="5"/>
          <w:w w:val="111"/>
          <w:sz w:val="21"/>
        </w:rPr>
        <w:t>u</w:t>
      </w:r>
      <w:r>
        <w:rPr>
          <w:color w:val="333333"/>
          <w:spacing w:val="3"/>
          <w:w w:val="124"/>
          <w:sz w:val="21"/>
        </w:rPr>
        <w:t>r</w:t>
      </w:r>
      <w:r>
        <w:rPr>
          <w:color w:val="333333"/>
          <w:spacing w:val="5"/>
          <w:w w:val="111"/>
          <w:sz w:val="21"/>
        </w:rPr>
        <w:t>n</w:t>
      </w:r>
      <w:r>
        <w:rPr>
          <w:color w:val="333333"/>
          <w:spacing w:val="2"/>
          <w:sz w:val="21"/>
        </w:rPr>
        <w:t>a</w:t>
      </w:r>
      <w:r>
        <w:rPr>
          <w:color w:val="333333"/>
          <w:spacing w:val="5"/>
          <w:w w:val="116"/>
          <w:sz w:val="21"/>
        </w:rPr>
        <w:t>l</w:t>
      </w:r>
      <w:r>
        <w:rPr>
          <w:color w:val="333333"/>
          <w:spacing w:val="-4"/>
          <w:w w:val="79"/>
          <w:sz w:val="21"/>
        </w:rPr>
        <w:t>_</w:t>
      </w:r>
      <w:r>
        <w:rPr>
          <w:color w:val="333333"/>
          <w:spacing w:val="3"/>
          <w:w w:val="122"/>
          <w:sz w:val="21"/>
        </w:rPr>
        <w:t>I</w:t>
      </w:r>
      <w:r>
        <w:rPr>
          <w:color w:val="333333"/>
          <w:spacing w:val="5"/>
          <w:w w:val="111"/>
          <w:sz w:val="21"/>
        </w:rPr>
        <w:t>n</w:t>
      </w:r>
      <w:r>
        <w:rPr>
          <w:color w:val="333333"/>
          <w:spacing w:val="2"/>
          <w:sz w:val="21"/>
        </w:rPr>
        <w:t>a</w:t>
      </w:r>
      <w:r>
        <w:rPr>
          <w:color w:val="333333"/>
          <w:spacing w:val="-4"/>
          <w:w w:val="79"/>
          <w:sz w:val="21"/>
        </w:rPr>
        <w:t>_</w:t>
      </w:r>
      <w:r>
        <w:rPr>
          <w:color w:val="333333"/>
          <w:spacing w:val="-1"/>
          <w:w w:val="129"/>
          <w:sz w:val="21"/>
        </w:rPr>
        <w:t>t</w:t>
      </w:r>
      <w:r>
        <w:rPr>
          <w:color w:val="333333"/>
          <w:spacing w:val="1"/>
          <w:w w:val="101"/>
          <w:sz w:val="21"/>
        </w:rPr>
        <w:t>e</w:t>
      </w:r>
      <w:r>
        <w:rPr>
          <w:color w:val="333333"/>
          <w:spacing w:val="4"/>
          <w:w w:val="95"/>
          <w:sz w:val="21"/>
        </w:rPr>
        <w:t>s</w:t>
      </w:r>
      <w:r>
        <w:rPr>
          <w:color w:val="333333"/>
          <w:spacing w:val="-1"/>
          <w:w w:val="129"/>
          <w:sz w:val="21"/>
        </w:rPr>
        <w:t>t</w:t>
      </w:r>
      <w:r>
        <w:rPr>
          <w:color w:val="333333"/>
          <w:spacing w:val="3"/>
          <w:w w:val="96"/>
          <w:sz w:val="21"/>
        </w:rPr>
        <w:t>.</w:t>
      </w:r>
      <w:r>
        <w:rPr>
          <w:color w:val="333333"/>
          <w:spacing w:val="5"/>
          <w:w w:val="110"/>
          <w:sz w:val="21"/>
        </w:rPr>
        <w:t>d</w:t>
      </w:r>
      <w:r>
        <w:rPr>
          <w:color w:val="333333"/>
          <w:spacing w:val="-8"/>
          <w:w w:val="108"/>
          <w:sz w:val="21"/>
        </w:rPr>
        <w:t>o</w:t>
      </w:r>
      <w:r>
        <w:rPr>
          <w:color w:val="333333"/>
          <w:spacing w:val="4"/>
          <w:w w:val="96"/>
          <w:sz w:val="21"/>
        </w:rPr>
        <w:t>c</w:t>
      </w:r>
      <w:r>
        <w:rPr>
          <w:color w:val="333333"/>
          <w:w w:val="105"/>
          <w:sz w:val="21"/>
        </w:rPr>
        <w:t>x</w:t>
      </w:r>
      <w:r>
        <w:rPr>
          <w:color w:val="333333"/>
          <w:spacing w:val="-5"/>
          <w:sz w:val="21"/>
        </w:rPr>
        <w:t xml:space="preserve"> </w:t>
      </w:r>
      <w:r>
        <w:rPr>
          <w:color w:val="333333"/>
          <w:spacing w:val="-3"/>
          <w:w w:val="90"/>
          <w:sz w:val="21"/>
        </w:rPr>
        <w:t>(</w:t>
      </w:r>
      <w:r>
        <w:rPr>
          <w:color w:val="333333"/>
          <w:spacing w:val="-1"/>
          <w:w w:val="102"/>
          <w:sz w:val="21"/>
        </w:rPr>
        <w:t>123</w:t>
      </w:r>
      <w:r>
        <w:rPr>
          <w:color w:val="333333"/>
          <w:spacing w:val="3"/>
          <w:w w:val="96"/>
          <w:sz w:val="21"/>
        </w:rPr>
        <w:t>.</w:t>
      </w:r>
      <w:r>
        <w:rPr>
          <w:color w:val="333333"/>
          <w:spacing w:val="-1"/>
          <w:w w:val="102"/>
          <w:sz w:val="21"/>
        </w:rPr>
        <w:t>65</w:t>
      </w:r>
      <w:r>
        <w:rPr>
          <w:color w:val="333333"/>
          <w:spacing w:val="5"/>
          <w:w w:val="92"/>
          <w:sz w:val="21"/>
        </w:rPr>
        <w:t>K</w:t>
      </w:r>
      <w:r>
        <w:rPr>
          <w:color w:val="333333"/>
          <w:w w:val="90"/>
          <w:sz w:val="21"/>
        </w:rPr>
        <w:t>)</w:t>
      </w:r>
    </w:p>
    <w:p w14:paraId="5A9079D4" w14:textId="77777777" w:rsidR="004419EB" w:rsidRDefault="004419EB" w:rsidP="004419EB">
      <w:pPr>
        <w:spacing w:before="59"/>
        <w:ind w:left="100"/>
        <w:rPr>
          <w:sz w:val="21"/>
        </w:rPr>
      </w:pPr>
      <w:r>
        <w:rPr>
          <w:rFonts w:ascii="Open Sans"/>
          <w:b/>
          <w:color w:val="333333"/>
          <w:w w:val="105"/>
          <w:sz w:val="21"/>
        </w:rPr>
        <w:t xml:space="preserve">Word count: </w:t>
      </w:r>
      <w:r>
        <w:rPr>
          <w:color w:val="333333"/>
          <w:w w:val="105"/>
          <w:sz w:val="21"/>
        </w:rPr>
        <w:t>6115</w:t>
      </w:r>
    </w:p>
    <w:p w14:paraId="76F05881" w14:textId="54E9BE98" w:rsidR="004419EB" w:rsidRPr="004419EB" w:rsidRDefault="004419EB" w:rsidP="004419EB">
      <w:pPr>
        <w:spacing w:before="59"/>
        <w:ind w:left="100"/>
        <w:rPr>
          <w:sz w:val="21"/>
        </w:rPr>
      </w:pPr>
      <w:r>
        <w:rPr>
          <w:rFonts w:ascii="Open Sans"/>
          <w:b/>
          <w:color w:val="333333"/>
          <w:w w:val="105"/>
          <w:sz w:val="21"/>
        </w:rPr>
        <w:t xml:space="preserve">Character count: </w:t>
      </w:r>
      <w:r>
        <w:rPr>
          <w:color w:val="333333"/>
          <w:w w:val="105"/>
          <w:sz w:val="21"/>
        </w:rPr>
        <w:t>34643</w:t>
      </w:r>
    </w:p>
    <w:p w14:paraId="3B089A4E" w14:textId="77777777" w:rsidR="004419EB" w:rsidRDefault="004419EB">
      <w:pPr>
        <w:jc w:val="center"/>
        <w:rPr>
          <w:b/>
          <w:szCs w:val="24"/>
        </w:rPr>
      </w:pPr>
    </w:p>
    <w:p w14:paraId="2C9B7B34" w14:textId="54146FE3" w:rsidR="00D24D1C" w:rsidRDefault="00D24D1C">
      <w:pPr>
        <w:jc w:val="center"/>
        <w:rPr>
          <w:b/>
          <w:szCs w:val="24"/>
        </w:rPr>
      </w:pPr>
      <w:r w:rsidRPr="00D24D1C">
        <w:rPr>
          <w:b/>
          <w:szCs w:val="24"/>
        </w:rPr>
        <w:lastRenderedPageBreak/>
        <w:t>PERFORMANCE AS THE ANCHOR: MITIGATING THE IMPACT OF FINANCIAL RISK AND DISTRESS ON LQ45 STOCK RETURNS</w:t>
      </w:r>
      <w:r>
        <w:rPr>
          <w:b/>
          <w:szCs w:val="24"/>
        </w:rPr>
        <w:t xml:space="preserve"> IN INDONESIA</w:t>
      </w:r>
    </w:p>
    <w:p w14:paraId="48D1CBF0" w14:textId="77777777" w:rsidR="002D6EFC" w:rsidRDefault="002D6EFC">
      <w:pPr>
        <w:jc w:val="center"/>
        <w:rPr>
          <w:b/>
          <w:szCs w:val="24"/>
        </w:rPr>
      </w:pPr>
    </w:p>
    <w:p w14:paraId="737D324D" w14:textId="4949BCBA" w:rsidR="00007670" w:rsidRPr="003E020A" w:rsidRDefault="006F3E1C" w:rsidP="00007670">
      <w:pPr>
        <w:jc w:val="center"/>
        <w:rPr>
          <w:b/>
          <w:iCs/>
          <w:szCs w:val="24"/>
        </w:rPr>
      </w:pPr>
      <w:r w:rsidRPr="006F3E1C">
        <w:rPr>
          <w:b/>
          <w:i/>
          <w:szCs w:val="24"/>
        </w:rPr>
        <w:t>Ina</w:t>
      </w:r>
      <w:r w:rsidR="00007670">
        <w:rPr>
          <w:b/>
          <w:i/>
          <w:szCs w:val="24"/>
        </w:rPr>
        <w:t xml:space="preserve"> Laila Khuzairina</w:t>
      </w:r>
      <w:r w:rsidRPr="006F3E1C">
        <w:rPr>
          <w:b/>
          <w:i/>
          <w:szCs w:val="24"/>
        </w:rPr>
        <w:t xml:space="preserve"> </w:t>
      </w:r>
      <w:r w:rsidR="00EF6A6E" w:rsidRPr="006F3E1C">
        <w:rPr>
          <w:b/>
          <w:i/>
          <w:szCs w:val="24"/>
          <w:vertAlign w:val="superscript"/>
        </w:rPr>
        <w:t>1)</w:t>
      </w:r>
      <w:r w:rsidR="00007670">
        <w:rPr>
          <w:b/>
          <w:iCs/>
          <w:szCs w:val="24"/>
        </w:rPr>
        <w:t xml:space="preserve">, Moh Afrizal Miradji </w:t>
      </w:r>
      <w:r w:rsidR="00007670">
        <w:rPr>
          <w:b/>
          <w:iCs/>
          <w:szCs w:val="24"/>
          <w:vertAlign w:val="superscript"/>
        </w:rPr>
        <w:t>2</w:t>
      </w:r>
      <w:r w:rsidR="00007670" w:rsidRPr="003E020A">
        <w:rPr>
          <w:b/>
          <w:iCs/>
          <w:szCs w:val="24"/>
          <w:vertAlign w:val="superscript"/>
        </w:rPr>
        <w:t>)</w:t>
      </w:r>
      <w:r w:rsidR="00007670">
        <w:rPr>
          <w:b/>
          <w:iCs/>
          <w:szCs w:val="24"/>
        </w:rPr>
        <w:t xml:space="preserve">, Soffia Pudji Estiasih </w:t>
      </w:r>
      <w:r w:rsidR="00007670">
        <w:rPr>
          <w:b/>
          <w:iCs/>
          <w:szCs w:val="24"/>
          <w:vertAlign w:val="superscript"/>
        </w:rPr>
        <w:t>3</w:t>
      </w:r>
      <w:r w:rsidR="00007670" w:rsidRPr="003E020A">
        <w:rPr>
          <w:b/>
          <w:iCs/>
          <w:szCs w:val="24"/>
          <w:vertAlign w:val="superscript"/>
        </w:rPr>
        <w:t>)</w:t>
      </w:r>
    </w:p>
    <w:p w14:paraId="00000003" w14:textId="24FFA1BF" w:rsidR="002C3D2B" w:rsidRPr="006F3E1C" w:rsidRDefault="002C3D2B">
      <w:pPr>
        <w:jc w:val="center"/>
        <w:rPr>
          <w:b/>
          <w:szCs w:val="24"/>
          <w:vertAlign w:val="superscript"/>
        </w:rPr>
      </w:pPr>
    </w:p>
    <w:p w14:paraId="00000006" w14:textId="71B75825" w:rsidR="002C3D2B" w:rsidRPr="006F3E1C" w:rsidRDefault="002D6EFC">
      <w:pPr>
        <w:jc w:val="center"/>
        <w:rPr>
          <w:szCs w:val="24"/>
        </w:rPr>
      </w:pPr>
      <w:r>
        <w:rPr>
          <w:szCs w:val="24"/>
        </w:rPr>
        <w:t xml:space="preserve">Student of </w:t>
      </w:r>
      <w:r w:rsidR="001B5B82">
        <w:rPr>
          <w:szCs w:val="24"/>
        </w:rPr>
        <w:t xml:space="preserve">Magister </w:t>
      </w:r>
      <w:r w:rsidR="00AC1463" w:rsidRPr="006F3E1C">
        <w:rPr>
          <w:szCs w:val="24"/>
        </w:rPr>
        <w:t xml:space="preserve">Management Faculty, PGRI Adi Buana University, Surabaya </w:t>
      </w:r>
      <w:r w:rsidR="00EF6A6E" w:rsidRPr="006F3E1C">
        <w:rPr>
          <w:szCs w:val="24"/>
          <w:vertAlign w:val="superscript"/>
        </w:rPr>
        <w:t>1</w:t>
      </w:r>
      <w:r>
        <w:rPr>
          <w:szCs w:val="24"/>
        </w:rPr>
        <w:t xml:space="preserve">, Lecture of </w:t>
      </w:r>
      <w:r w:rsidR="001B5B82">
        <w:rPr>
          <w:szCs w:val="24"/>
        </w:rPr>
        <w:t xml:space="preserve">Magister </w:t>
      </w:r>
      <w:r w:rsidR="001B5B82" w:rsidRPr="006F3E1C">
        <w:rPr>
          <w:szCs w:val="24"/>
        </w:rPr>
        <w:t xml:space="preserve">Management Faculty, PGRI Adi Buana University, Surabaya </w:t>
      </w:r>
      <w:r w:rsidR="001B5B82">
        <w:rPr>
          <w:szCs w:val="24"/>
          <w:vertAlign w:val="superscript"/>
        </w:rPr>
        <w:t>2,3</w:t>
      </w:r>
    </w:p>
    <w:p w14:paraId="00000007" w14:textId="7CA997FB" w:rsidR="002C3D2B" w:rsidRPr="006F3E1C" w:rsidRDefault="00EF6A6E">
      <w:pPr>
        <w:pBdr>
          <w:top w:val="nil"/>
          <w:left w:val="nil"/>
          <w:bottom w:val="nil"/>
          <w:right w:val="nil"/>
          <w:between w:val="nil"/>
        </w:pBdr>
        <w:jc w:val="center"/>
        <w:rPr>
          <w:i/>
          <w:color w:val="000000"/>
          <w:szCs w:val="24"/>
        </w:rPr>
      </w:pPr>
      <w:r w:rsidRPr="006F3E1C">
        <w:rPr>
          <w:i/>
          <w:color w:val="000000"/>
          <w:szCs w:val="24"/>
        </w:rPr>
        <w:t xml:space="preserve">Email: </w:t>
      </w:r>
      <w:hyperlink r:id="rId9" w:history="1">
        <w:r w:rsidR="002D6EFC">
          <w:rPr>
            <w:rStyle w:val="Hyperlink"/>
            <w:i/>
            <w:szCs w:val="24"/>
          </w:rPr>
          <w:t>inalailakhuzairina</w:t>
        </w:r>
      </w:hyperlink>
      <w:r w:rsidR="002D6EFC">
        <w:rPr>
          <w:rStyle w:val="Hyperlink"/>
          <w:i/>
          <w:szCs w:val="24"/>
        </w:rPr>
        <w:t>@gmail.com</w:t>
      </w:r>
      <w:hyperlink r:id="rId10">
        <w:r w:rsidR="002D6EFC" w:rsidRPr="006F3E1C">
          <w:rPr>
            <w:i/>
            <w:color w:val="0000FF"/>
            <w:szCs w:val="24"/>
            <w:u w:val="single"/>
            <w:vertAlign w:val="superscript"/>
          </w:rPr>
          <w:t>1</w:t>
        </w:r>
      </w:hyperlink>
      <w:r w:rsidR="002D6EFC" w:rsidRPr="006F3E1C">
        <w:rPr>
          <w:i/>
          <w:szCs w:val="24"/>
        </w:rPr>
        <w:t xml:space="preserve"> </w:t>
      </w:r>
      <w:r w:rsidR="002D6EFC">
        <w:rPr>
          <w:i/>
          <w:szCs w:val="24"/>
        </w:rPr>
        <w:t xml:space="preserve">, </w:t>
      </w:r>
      <w:hyperlink r:id="rId11" w:history="1">
        <w:r w:rsidR="002D6EFC" w:rsidRPr="00A14FDD">
          <w:rPr>
            <w:rStyle w:val="Hyperlink"/>
            <w:i/>
            <w:szCs w:val="24"/>
          </w:rPr>
          <w:t>afrizal@unipasby.ac.id</w:t>
        </w:r>
        <w:r w:rsidR="002D6EFC" w:rsidRPr="003E020A">
          <w:rPr>
            <w:rStyle w:val="Hyperlink"/>
            <w:i/>
            <w:szCs w:val="24"/>
            <w:vertAlign w:val="superscript"/>
          </w:rPr>
          <w:t>2</w:t>
        </w:r>
      </w:hyperlink>
      <w:r w:rsidR="002D6EFC">
        <w:rPr>
          <w:i/>
          <w:szCs w:val="24"/>
        </w:rPr>
        <w:t xml:space="preserve">, </w:t>
      </w:r>
      <w:hyperlink r:id="rId12" w:history="1">
        <w:r w:rsidR="002D6EFC" w:rsidRPr="00A14FDD">
          <w:rPr>
            <w:rStyle w:val="Hyperlink"/>
            <w:i/>
            <w:szCs w:val="24"/>
          </w:rPr>
          <w:t>sestiasih@unipasby.ac.id</w:t>
        </w:r>
        <w:r w:rsidR="002D6EFC" w:rsidRPr="003E020A">
          <w:rPr>
            <w:rStyle w:val="Hyperlink"/>
            <w:i/>
            <w:szCs w:val="24"/>
            <w:vertAlign w:val="superscript"/>
          </w:rPr>
          <w:t>3</w:t>
        </w:r>
      </w:hyperlink>
      <w:r w:rsidRPr="006F3E1C">
        <w:rPr>
          <w:i/>
          <w:szCs w:val="24"/>
        </w:rPr>
        <w:t xml:space="preserve"> </w:t>
      </w:r>
    </w:p>
    <w:p w14:paraId="00000008" w14:textId="77777777" w:rsidR="002C3D2B" w:rsidRPr="006F3E1C" w:rsidRDefault="00EF6A6E">
      <w:pPr>
        <w:pBdr>
          <w:top w:val="nil"/>
          <w:left w:val="nil"/>
          <w:bottom w:val="nil"/>
          <w:right w:val="nil"/>
          <w:between w:val="nil"/>
        </w:pBdr>
        <w:jc w:val="center"/>
        <w:rPr>
          <w:i/>
          <w:color w:val="000000"/>
          <w:szCs w:val="24"/>
        </w:rPr>
      </w:pPr>
      <w:r w:rsidRPr="006F3E1C">
        <w:rPr>
          <w:i/>
          <w:color w:val="000000"/>
          <w:szCs w:val="24"/>
        </w:rPr>
        <w:t xml:space="preserve"> </w:t>
      </w:r>
    </w:p>
    <w:p w14:paraId="00000009" w14:textId="77777777" w:rsidR="002C3D2B" w:rsidRPr="006F3E1C" w:rsidRDefault="002C3D2B">
      <w:pPr>
        <w:rPr>
          <w:b/>
          <w:szCs w:val="24"/>
        </w:rPr>
      </w:pPr>
    </w:p>
    <w:p w14:paraId="0000000C" w14:textId="2D275A93" w:rsidR="002C3D2B" w:rsidRPr="006F3E1C" w:rsidRDefault="00EF6A6E" w:rsidP="00AC1463">
      <w:pPr>
        <w:spacing w:after="120"/>
        <w:ind w:left="1440" w:hanging="1440"/>
        <w:jc w:val="both"/>
        <w:rPr>
          <w:b/>
          <w:i/>
          <w:szCs w:val="24"/>
        </w:rPr>
      </w:pPr>
      <w:r w:rsidRPr="006F3E1C">
        <w:rPr>
          <w:b/>
          <w:szCs w:val="24"/>
        </w:rPr>
        <w:t>Abstract:</w:t>
      </w:r>
      <w:r w:rsidRPr="006F3E1C">
        <w:rPr>
          <w:b/>
          <w:i/>
          <w:szCs w:val="24"/>
        </w:rPr>
        <w:t xml:space="preserve"> </w:t>
      </w:r>
      <w:r w:rsidRPr="006F3E1C">
        <w:rPr>
          <w:b/>
          <w:i/>
          <w:szCs w:val="24"/>
        </w:rPr>
        <w:tab/>
      </w:r>
      <w:r w:rsidR="006F3E1C" w:rsidRPr="006F3E1C">
        <w:rPr>
          <w:szCs w:val="24"/>
        </w:rPr>
        <w:t>This research aims to analyze the influence of financial risk and financial distress on stock returns of companies indexed LQ45 on the Indonesia Stock Exchange during the 2019-2023 period, taking into account the moderation of company performance (ROA). This research uses three analysis models: a model without a moderating variable, a model with ROA as an independent variable, and a moderation model. Data was obtained from the LQ45 company's financial reports and analyzed using multiple regression. The research results show that interest rate risk has a significant positive effect on stock returns, while financial distress has a significant effect only in the model without moderation. The beta factor does not show a significant influence on stock returns in the three models. Company performance (ROA) does not moderate the influence of beta factors and interest rate risk on stock returns, but does moderate the influence of financial distress on stock returns. These findings provide practical implications for financial managers and investors to pay more attention to interest rate risks and financial distress conditions in making investment decisions. This research also adds theoretical insight into the role of company performance in moderating the influence of financial distress on stock returns. Suggestions for further research include expanding research variables, analysis in other sectors, and using different research methods for a more comprehensive understanding</w:t>
      </w:r>
    </w:p>
    <w:p w14:paraId="0000000D" w14:textId="0B7983A8" w:rsidR="002C3D2B" w:rsidRPr="006F3E1C" w:rsidRDefault="00EF6A6E">
      <w:pPr>
        <w:ind w:left="1440" w:right="14" w:hanging="1440"/>
        <w:jc w:val="both"/>
        <w:rPr>
          <w:i/>
          <w:szCs w:val="24"/>
        </w:rPr>
      </w:pPr>
      <w:r w:rsidRPr="006F3E1C">
        <w:rPr>
          <w:b/>
          <w:i/>
          <w:szCs w:val="24"/>
        </w:rPr>
        <w:t xml:space="preserve">Keywords: </w:t>
      </w:r>
      <w:r w:rsidRPr="006F3E1C">
        <w:rPr>
          <w:b/>
          <w:i/>
          <w:szCs w:val="24"/>
        </w:rPr>
        <w:tab/>
      </w:r>
      <w:r w:rsidR="006F3E1C" w:rsidRPr="006F3E1C">
        <w:rPr>
          <w:i/>
          <w:szCs w:val="24"/>
        </w:rPr>
        <w:t>interest rate risk, beta factor, financial distress, company performance, stock returns, LQ45</w:t>
      </w:r>
    </w:p>
    <w:p w14:paraId="0000000E" w14:textId="77777777" w:rsidR="002C3D2B" w:rsidRPr="006F3E1C" w:rsidRDefault="002C3D2B">
      <w:pPr>
        <w:pBdr>
          <w:bottom w:val="single" w:sz="12" w:space="1" w:color="000000"/>
        </w:pBdr>
        <w:spacing w:after="120"/>
        <w:ind w:left="1080" w:right="14" w:hanging="1080"/>
        <w:rPr>
          <w:i/>
          <w:szCs w:val="24"/>
        </w:rPr>
      </w:pPr>
    </w:p>
    <w:p w14:paraId="0000000F" w14:textId="77777777" w:rsidR="002C3D2B" w:rsidRPr="006F3E1C" w:rsidRDefault="002C3D2B">
      <w:pPr>
        <w:pBdr>
          <w:bottom w:val="single" w:sz="12" w:space="1" w:color="000000"/>
        </w:pBdr>
        <w:rPr>
          <w:szCs w:val="24"/>
        </w:rPr>
        <w:sectPr w:rsidR="002C3D2B" w:rsidRPr="006F3E1C">
          <w:headerReference w:type="default" r:id="rId13"/>
          <w:footerReference w:type="default" r:id="rId14"/>
          <w:pgSz w:w="11909" w:h="16834"/>
          <w:pgMar w:top="1418" w:right="1134" w:bottom="1418" w:left="1418" w:header="850" w:footer="850" w:gutter="0"/>
          <w:pgNumType w:start="1"/>
          <w:cols w:space="720"/>
        </w:sectPr>
      </w:pPr>
    </w:p>
    <w:p w14:paraId="00000010" w14:textId="77777777" w:rsidR="002C3D2B" w:rsidRPr="006F3E1C" w:rsidRDefault="002C3D2B">
      <w:pPr>
        <w:pStyle w:val="Judul1"/>
        <w:spacing w:after="60"/>
        <w:ind w:left="360"/>
        <w:rPr>
          <w:i w:val="0"/>
          <w:sz w:val="24"/>
          <w:szCs w:val="24"/>
        </w:rPr>
      </w:pPr>
    </w:p>
    <w:p w14:paraId="00000011" w14:textId="13E5FB29" w:rsidR="002C3D2B" w:rsidRPr="006F3E1C" w:rsidRDefault="00EF6A6E">
      <w:pPr>
        <w:pStyle w:val="Judul1"/>
        <w:numPr>
          <w:ilvl w:val="0"/>
          <w:numId w:val="1"/>
        </w:numPr>
        <w:spacing w:after="60"/>
        <w:ind w:left="360"/>
        <w:rPr>
          <w:i w:val="0"/>
          <w:sz w:val="24"/>
          <w:szCs w:val="24"/>
        </w:rPr>
      </w:pPr>
      <w:r w:rsidRPr="006F3E1C">
        <w:rPr>
          <w:i w:val="0"/>
          <w:sz w:val="24"/>
          <w:szCs w:val="24"/>
        </w:rPr>
        <w:t>Introduction</w:t>
      </w:r>
    </w:p>
    <w:p w14:paraId="1C75B4E0" w14:textId="77777777" w:rsidR="006F3E1C" w:rsidRPr="006F3E1C" w:rsidRDefault="006F3E1C" w:rsidP="00D35C05">
      <w:pPr>
        <w:ind w:firstLine="720"/>
        <w:jc w:val="both"/>
        <w:rPr>
          <w:szCs w:val="24"/>
        </w:rPr>
      </w:pPr>
    </w:p>
    <w:p w14:paraId="0168B516" w14:textId="13857FC2" w:rsidR="006F3E1C" w:rsidRPr="006F3E1C" w:rsidRDefault="006F3E1C" w:rsidP="006F3E1C">
      <w:pPr>
        <w:ind w:firstLine="720"/>
        <w:jc w:val="both"/>
        <w:rPr>
          <w:szCs w:val="24"/>
          <w:lang w:val="en-MY"/>
        </w:rPr>
      </w:pPr>
      <w:r w:rsidRPr="006F3E1C">
        <w:rPr>
          <w:szCs w:val="24"/>
          <w:lang w:val="en-MY"/>
        </w:rPr>
        <w:t xml:space="preserve">The uncertain development of the Indonesian economy is influenced by various internal and external factors which are interrelated and influence each other (Basri, 2002 in </w:t>
      </w:r>
      <w:r w:rsidRPr="006F3E1C">
        <w:rPr>
          <w:szCs w:val="24"/>
          <w:lang w:val="en-MY"/>
        </w:rPr>
        <w:fldChar w:fldCharType="begin" w:fldLock="1"/>
      </w:r>
      <w:r w:rsidR="00D24D1C">
        <w:rPr>
          <w:szCs w:val="24"/>
          <w:lang w:val="en-MY"/>
        </w:rPr>
        <w:instrText>ADDIN CSL_CITATION {"citationItems":[{"id":"ITEM-1","itemData":{"DOI":"10.46781/al-mutharahah.v17i2.142","ISSN":"2088-0871","abstract":"Economic growth in Indonesia has experienced fluctuating changes in 2020, especially entering the Covid-19 pandemic. The subjectivity factor greatly affects Indonesia's economic growth. The important factors that play a role are the low income per person of the population and the large carry-over of the workforce which takes place under pressure from very vulnerable external conditions, which is reflected in the high burden of foreign debt. This is due to being too dependent on imported products which have eroded labor productivity and the empowerment of natural resources has greatly decreased. Economic growth has declined sharply with the spread of the Covid-19 virus which began to enter Indonesia in the second quarter of 2020. The Covid-19 pandemic has greatly affected the movement of the Indonesian economy which tends to decline. This study uses a qualitative method with a descriptive level of explanation, centralized data collection inaccurate social media reports from reliable informant sources, namely the statement of the Minister of Finance Sri Mulyani. The presentation of the research results that in the first quarter (the period from January 2020 to March 2020) economic growth was recorded at a safe rate of plus 2.97%, in the second quarter (April 2020 to June 2020) showed a slump in economic growth, namely minus 5, 32%, there was a significant change, namely a slight increase but still a minus occurred in the third quarter (July 2020 to September 2020) which was minus 1% to minus 2.9%. The negative conditions in the last two quarters resulted in the Indonesian economy falling into a recession. The government must make various important efforts to overcome this recession, namely by deregulating, reducing loan interest rates, increasing interest rates or public savings margins, promoting non-oil and gas exports, expanding job opportunities, restructuring processes due to the still gloomy external situation, increasing taxes, reduction of imported products, handling of the informal sector.","author":[{"dropping-particle":"","family":"Herlina","given":"Herlina","non-dropping-particle":"","parse-names":false,"suffix":""}],"container-title":"Al-Mutharahah: Jurnal Penelitian dan Kajian Sosial Keagamaan","id":"ITEM-1","issue":"2","issued":{"date-parts":[["2020"]]},"page":"199-210","title":"Perubahan Fluktuatif Struktur Ekonomi Indonesia Pada Masa Pandemi Covid-19","type":"article-journal","volume":"17"},"uris":["http://www.mendeley.com/documents/?uuid=6b418bc0-3fda-48b1-9600-8b0139f75364"]}],"mendeley":{"formattedCitation":"(Herlina, 2020)","manualFormatting":"(Herlina, 2020) ","plainTextFormattedCitation":"(Herlina, 2020)","previouslyFormattedCitation":"(Herlina, 2020)"},"properties":{"noteIndex":0},"schema":"https://github.com/citation-style-language/schema/raw/master/csl-citation.json"}</w:instrText>
      </w:r>
      <w:r w:rsidRPr="006F3E1C">
        <w:rPr>
          <w:szCs w:val="24"/>
          <w:lang w:val="en-MY"/>
        </w:rPr>
        <w:fldChar w:fldCharType="separate"/>
      </w:r>
      <w:r w:rsidRPr="006F3E1C">
        <w:rPr>
          <w:noProof/>
          <w:szCs w:val="24"/>
          <w:lang w:val="en-MY"/>
        </w:rPr>
        <w:t xml:space="preserve">(Herlina, 2020) </w:t>
      </w:r>
      <w:r w:rsidRPr="006F3E1C">
        <w:rPr>
          <w:szCs w:val="24"/>
          <w:lang w:val="en-MY"/>
        </w:rPr>
        <w:fldChar w:fldCharType="end"/>
      </w:r>
      <w:r w:rsidRPr="006F3E1C">
        <w:rPr>
          <w:szCs w:val="24"/>
          <w:lang w:val="en-MY"/>
        </w:rPr>
        <w:t xml:space="preserve">). Internal factors such as political, social and cultural conditions have a significant impact on the economy. For example, stable political conditions support economic growth, while political conflict or social instability can discourage investment. External factors, such as global economic conditions and geopolitics, also play a large role in influencing Indonesia's exports and imports as well as the investment climate </w:t>
      </w:r>
      <w:r w:rsidRPr="006F3E1C">
        <w:rPr>
          <w:szCs w:val="24"/>
          <w:lang w:val="en-MY"/>
        </w:rPr>
        <w:fldChar w:fldCharType="begin" w:fldLock="1"/>
      </w:r>
      <w:r w:rsidR="00D24D1C">
        <w:rPr>
          <w:szCs w:val="24"/>
          <w:lang w:val="en-MY"/>
        </w:rPr>
        <w:instrText>ADDIN CSL_CITATION {"citationItems":[{"id":"ITEM-1","itemData":{"DOI":"10.24252/ecc.v7i1.13382","ISSN":"2407-6635","abstract":"The estimation carried out in this study is an Autoregressive Distributed Lag (ARDL) analysis model, and use to see long-term and short-term effects Chenaf dan Rougier, 2008; dan Yanikkaya, 2003). Dalam pemahaman teori klasik","author":[{"dropping-particle":"","family":"Handoyo","given":"Rossanto Dwi","non-dropping-particle":"","parse-names":false,"suffix":""},{"dropping-particle":"","family":"Erlando","given":"Angga","non-dropping-particle":"","parse-names":false,"suffix":""},{"dropping-particle":"","family":"Septiyanto","given":"Ilham","non-dropping-particle":"","parse-names":false,"suffix":""}],"container-title":"EcceS (Economics, Social, and Development Studies)","id":"ITEM-1","issue":"1","issued":{"date-parts":[["2020"]]},"page":"1","title":"Dampak Faktor Eksternal Terhadap Pertumbuhan Ekonomi Indonesia","type":"article-journal","volume":"7"},"uris":["http://www.mendeley.com/documents/?uuid=8c709a65-d415-492d-ac71-c66d1129b4c7"]}],"mendeley":{"formattedCitation":"(Handoyo et al., 2020)","manualFormatting":"(Handoyo et al., 2020) ","plainTextFormattedCitation":"(Handoyo et al., 2020)","previouslyFormattedCitation":"(Handoyo et al., 2020)"},"properties":{"noteIndex":0},"schema":"https://github.com/citation-style-language/schema/raw/master/csl-citation.json"}</w:instrText>
      </w:r>
      <w:r w:rsidRPr="006F3E1C">
        <w:rPr>
          <w:szCs w:val="24"/>
          <w:lang w:val="en-MY"/>
        </w:rPr>
        <w:fldChar w:fldCharType="separate"/>
      </w:r>
      <w:r w:rsidRPr="006F3E1C">
        <w:rPr>
          <w:noProof/>
          <w:szCs w:val="24"/>
          <w:lang w:val="en-MY"/>
        </w:rPr>
        <w:t xml:space="preserve">(Handoyo et al., 2020) </w:t>
      </w:r>
      <w:r w:rsidRPr="006F3E1C">
        <w:rPr>
          <w:szCs w:val="24"/>
          <w:lang w:val="en-MY"/>
        </w:rPr>
        <w:fldChar w:fldCharType="end"/>
      </w:r>
      <w:r w:rsidRPr="006F3E1C">
        <w:rPr>
          <w:szCs w:val="24"/>
          <w:lang w:val="en-MY"/>
        </w:rPr>
        <w:t>.</w:t>
      </w:r>
      <w:r w:rsidR="00D24D1C">
        <w:rPr>
          <w:szCs w:val="24"/>
          <w:lang w:val="en-MY"/>
        </w:rPr>
        <w:t xml:space="preserve"> </w:t>
      </w:r>
      <w:r w:rsidRPr="006F3E1C">
        <w:rPr>
          <w:szCs w:val="24"/>
          <w:lang w:val="en-MY"/>
        </w:rPr>
        <w:t xml:space="preserve">This uncertain economic development can pose various risks for companies. Financial risks can arise due to fluctuations in currency exchange rates, interest rates, or commodity prices (Bramantyo, 2008 in Tarigan et al., 2020). Operational risks can arise from system failures or human error, while strategic risks relate to changes in the business environment. These risks can affect company performance, which is a measure of success </w:t>
      </w:r>
      <w:r w:rsidRPr="006F3E1C">
        <w:rPr>
          <w:szCs w:val="24"/>
          <w:lang w:val="en-MY"/>
        </w:rPr>
        <w:lastRenderedPageBreak/>
        <w:t xml:space="preserve">in achieving its goals </w:t>
      </w:r>
      <w:r w:rsidRPr="006F3E1C">
        <w:rPr>
          <w:szCs w:val="24"/>
          <w:lang w:val="en-MY"/>
        </w:rPr>
        <w:fldChar w:fldCharType="begin" w:fldLock="1"/>
      </w:r>
      <w:r w:rsidR="00D24D1C">
        <w:rPr>
          <w:szCs w:val="24"/>
          <w:lang w:val="en-MY"/>
        </w:rPr>
        <w:instrText>ADDIN CSL_CITATION {"citationItems":[{"id":"ITEM-1","itemData":{"ISBN":"978-602-18652-3-1","abstract":"Rotasi kerja atau perpindahan pustakawan dari unit kerja satu ke unit kerja yang lain atau dari satu bagian ke bagian yang lain untuk pengembangan pustakawan memang sangat diperlukan. Rotasi kerja bisa berupa promosi, alih tugas atau demosi. Pustakawan sebagai pejabat fungsional dituntut untuk mengumpulkan angka kredit dari berbagai aspek sesuai dengan jenjang jabatannya. Melalui rotasi diharapkan pustakawan bisa mengembangkan diri dan mampu mengumpulkan angka kredit yang dibutuhkan untuk kenaikan jabatan dan pangkatnya dengan lancar sampai pangkat dan jabatan maksimal yang bisa dicapai sesuai peraturan yang berlaku. Lingkungan kerja yang baru, teman baru, bidang kerja baru diharapkan mampu meningkatkan semangat kerja sehingga kinerja pustakawan akan lebih meningkat dan lebih produktif.","author":[{"dropping-particle":"","family":"Abdullah","given":"M. Ma'ruf","non-dropping-particle":"","parse-names":false,"suffix":""}],"container-title":"Aswaja Pressindo","id":"ITEM-1","issued":{"date-parts":[["2014"]]},"number-of-pages":"228","title":"Manajemen dan Evaluasi Kinerja Karyawan","type":"book"},"uris":["http://www.mendeley.com/documents/?uuid=2101a0c1-5abf-44b9-b35e-1cfbd4aaef2f"]}],"mendeley":{"formattedCitation":"(Abdullah, 2014)","manualFormatting":"(Abdullah, 2014) ","plainTextFormattedCitation":"(Abdullah, 2014)","previouslyFormattedCitation":"(Abdullah, 2014)"},"properties":{"noteIndex":0},"schema":"https://github.com/citation-style-language/schema/raw/master/csl-citation.json"}</w:instrText>
      </w:r>
      <w:r w:rsidRPr="006F3E1C">
        <w:rPr>
          <w:szCs w:val="24"/>
          <w:lang w:val="en-MY"/>
        </w:rPr>
        <w:fldChar w:fldCharType="separate"/>
      </w:r>
      <w:r w:rsidRPr="006F3E1C">
        <w:rPr>
          <w:noProof/>
          <w:szCs w:val="24"/>
          <w:lang w:val="en-MY"/>
        </w:rPr>
        <w:t xml:space="preserve">(Abdullah, 2014) </w:t>
      </w:r>
      <w:r w:rsidRPr="006F3E1C">
        <w:rPr>
          <w:szCs w:val="24"/>
          <w:lang w:val="en-MY"/>
        </w:rPr>
        <w:fldChar w:fldCharType="end"/>
      </w:r>
      <w:r w:rsidRPr="006F3E1C">
        <w:rPr>
          <w:szCs w:val="24"/>
          <w:lang w:val="en-MY"/>
        </w:rPr>
        <w:t>. Implementing a good strategy can improve financial performance, which in turn has a positive impact on stock returns.</w:t>
      </w:r>
    </w:p>
    <w:p w14:paraId="42D65652" w14:textId="762B3238" w:rsidR="006F3E1C" w:rsidRPr="006F3E1C" w:rsidRDefault="006F3E1C" w:rsidP="006F3E1C">
      <w:pPr>
        <w:ind w:firstLine="720"/>
        <w:jc w:val="both"/>
        <w:rPr>
          <w:szCs w:val="24"/>
          <w:lang w:val="en-MY"/>
        </w:rPr>
      </w:pPr>
      <w:r w:rsidRPr="006F3E1C">
        <w:rPr>
          <w:szCs w:val="24"/>
          <w:lang w:val="en-MY"/>
        </w:rPr>
        <w:t xml:space="preserve">Stock return performance is influenced by various factors, including the company's financial performance and stock market conditions. According to modern portfolio asset theory (CAPM), stock returns are influenced by risk and beta factors, which are measures of the systematic risk of a stock </w:t>
      </w:r>
      <w:r w:rsidRPr="006F3E1C">
        <w:rPr>
          <w:szCs w:val="24"/>
          <w:lang w:val="en-MY"/>
        </w:rPr>
        <w:fldChar w:fldCharType="begin" w:fldLock="1"/>
      </w:r>
      <w:r w:rsidR="00D24D1C">
        <w:rPr>
          <w:szCs w:val="24"/>
          <w:lang w:val="en-MY"/>
        </w:rPr>
        <w:instrText>ADDIN CSL_CITATION {"citationItems":[{"id":"ITEM-1","itemData":{"abstract":"The stock price is an parameters of the success of company’s management. If the stock price of a company continues to increase, potential investors will judge that the company's management is successful. This study aimed to analyze the influence of financial performance on stock prices in manufacturing companies for the 2016-2018 period. Financial performance is the liquidity, the profitability ratio, the solvency ratio (leverage) and the ratio activity. Meanwhile, the stock price is obtained from the closing price of the stock. The sampling method in this study is purposive sampling. There are 102 samples in this study. The method used for data collection in this study is the documentation method. The analytical techniques conducted by descriptif statistic dan classical assumption test and also hypothesis was tested using multiple linier regresional method, Adjusted R2 test, F test and t test. The results showed that the variable liquidity ratio and activity ratio significantly affect on stock price. Meanwhile, Profitability ratios and solvency ratios have no significant effect on stock prices. From the results of testing this hypothesis, it can be concluded that investors do not see the factors of high and low profit generated and the company's financial risk in investing in the capital market.","author":[{"dropping-particle":"","family":"Gunawan","given":"Yogi Indra","non-dropping-particle":"","parse-names":false,"suffix":""},{"dropping-particle":"","family":"Suyatmin","given":"Waskito Adi","non-dropping-particle":"","parse-names":false,"suffix":""}],"container-title":"Prosiding Seminar Stiami","id":"ITEM-1","issue":"1","issued":{"date-parts":[["2021"]]},"page":"32-36","title":"Analisis Pengaruh Kinerja Keuangan Terhadap Harga Saham Pada Perusahaan Yang Terdaftar Di BEI","type":"article-journal","volume":"8"},"uris":["http://www.mendeley.com/documents/?uuid=b25c3955-306d-43da-96ec-d4d06dc7b6e6"]},{"id":"ITEM-2","itemData":{"ISBN":"1992011001","abstract":"Page 1. PENGARUH KEPEMIMPINAN SPRITUAL TERHADAP LOYALITAS KERJA KARYAWAN BMT SIDOGIRI Bambang Subahri dan Nurul Hikmah 1Institut Agama Islam Syarifuddin Lumajang, Indonesia Email : bambang …","author":[{"dropping-particle":"","family":"Kurniawan","given":"Agung W","non-dropping-particle":"","parse-names":false,"suffix":""}],"id":"ITEM-2","issue":"3","issued":{"date-parts":[["2015"]]},"page":"69-70","title":"Prediksi Risiko Investasi Saham","type":"article-journal","volume":"3"},"uris":["http://www.mendeley.com/documents/?uuid=20126b42-089c-4f8e-b720-5726fede3aeb"]}],"mendeley":{"formattedCitation":"(Gunawan &amp; Suyatmin, 2021; Kurniawan, 2015)"},"properties":{"noteIndex":0},"schema":"https://github.com/citation-style-language/schema/raw/master/csl-citation.json"}</w:instrText>
      </w:r>
      <w:r w:rsidRPr="006F3E1C">
        <w:rPr>
          <w:szCs w:val="24"/>
          <w:lang w:val="en-MY"/>
        </w:rPr>
        <w:fldChar w:fldCharType="separate"/>
      </w:r>
      <w:r w:rsidR="00D24D1C" w:rsidRPr="00D24D1C">
        <w:rPr>
          <w:noProof/>
          <w:szCs w:val="24"/>
          <w:lang w:val="en-MY"/>
        </w:rPr>
        <w:t>(Gunawan &amp; Suyatmin, 2021; Kurniawan, 2015)</w:t>
      </w:r>
      <w:r w:rsidRPr="006F3E1C">
        <w:rPr>
          <w:szCs w:val="24"/>
          <w:lang w:val="en-MY"/>
        </w:rPr>
        <w:fldChar w:fldCharType="end"/>
      </w:r>
      <w:r w:rsidRPr="006F3E1C">
        <w:rPr>
          <w:szCs w:val="24"/>
          <w:lang w:val="en-MY"/>
        </w:rPr>
        <w:t>. Companies with good financial performance tend to have lower risk and higher beta factors, which increase stock returns. In addition, financial distress or company financial difficulties can reduce stock returns because they increase investor uncertainty and the cost of capital (Weston &amp; Brigham, 2020).</w:t>
      </w:r>
      <w:r w:rsidR="00D24D1C">
        <w:rPr>
          <w:szCs w:val="24"/>
          <w:lang w:val="en-MY"/>
        </w:rPr>
        <w:t xml:space="preserve"> </w:t>
      </w:r>
      <w:r w:rsidRPr="006F3E1C">
        <w:rPr>
          <w:szCs w:val="24"/>
          <w:lang w:val="en-MY"/>
        </w:rPr>
        <w:t xml:space="preserve">Macroeconomic conditions also influence stock returns. Good economic conditions increase demand for products and services, which benefits companies and improves their financial performance (Bringham &amp; Daves, 2000 in </w:t>
      </w:r>
      <w:r w:rsidRPr="006F3E1C">
        <w:rPr>
          <w:szCs w:val="24"/>
          <w:lang w:val="en-MY"/>
        </w:rPr>
        <w:fldChar w:fldCharType="begin" w:fldLock="1"/>
      </w:r>
      <w:r w:rsidR="00D24D1C">
        <w:rPr>
          <w:szCs w:val="24"/>
          <w:lang w:val="en-MY"/>
        </w:rPr>
        <w:instrText>ADDIN CSL_CITATION {"citationItems":[{"id":"ITEM-1","itemData":{"DOI":"10.35760/eb.2022.v27i3.5856","ISSN":"0853-862X","abstract":"Tujuan penelitian ini untuk mengetahui kemampuan tax planning memoderasi kebijakan dividen, biaya modal, agency cost terhadap nilai perusahaan. Tax planning sebagai strategi perusahaan dalam meminimumkan beban pajak terhutang perusahaan, dengan efisiensi itu maka nilai perusahaan meningkat. Penelitian ini menggunakan data sekunder berupa laporan keuangan perusahaan manufaktur yang terdaftar di Bursa Efek Indonesia periode 2019. Variabel yang digunakan dalam penelitian ini adalah variabel eksogen yaitu kebijakan dividen, biaya modal dan agency cost. Selain itu penelitian ini menggunakan variabel endogen berupa nilai perusahaan dan variabel moderating yaitu tax planning. Penelitian ini menggunakan analisis deskriptif untuk menggambarkan variabel penelitian dan statistic verifikatif untuk menguji hipotesis dengan alat bantu Structural Equation Modelling (SEM). Hasil penelitian menunjukkan tax planning mampu menjalankan perannya sebagai moderating pada pengaruh kebijakan dividen terhadap nilai perusahaan dan pengaruh agency cost terhadap nilai perusahaan sedangkan pengaruh biaya modal terhadap nilai perusahaan. Tax planning tidak mampu meoderasi pengaruh keduanya.","author":[{"dropping-particle":"","family":"Juwita","given":"Ratih","non-dropping-particle":"","parse-names":false,"suffix":""},{"dropping-particle":"","family":"Antoni","given":"","non-dropping-particle":"","parse-names":false,"suffix":""},{"dropping-particle":"","family":"Pandjaitan","given":"S. S. P.","non-dropping-particle":"","parse-names":false,"suffix":""}],"container-title":"Jurnal Ilmiah Ekonomi Bisnis","id":"ITEM-1","issue":"3","issued":{"date-parts":[["2022"]]},"page":"336-348","title":"Peran Tax Planning Sebagai Pemoderasi Determinan Nilai Perusahaan","type":"article-journal","volume":"27"},"uris":["http://www.mendeley.com/documents/?uuid=4a66d7d1-0979-42bf-9b13-4225ec3f7434"]}],"mendeley":{"formattedCitation":"(Juwita et al., 2022)"},"properties":{"noteIndex":0},"schema":"https://github.com/citation-style-language/schema/raw/master/csl-citation.json"}</w:instrText>
      </w:r>
      <w:r w:rsidRPr="006F3E1C">
        <w:rPr>
          <w:szCs w:val="24"/>
          <w:lang w:val="en-MY"/>
        </w:rPr>
        <w:fldChar w:fldCharType="separate"/>
      </w:r>
      <w:r w:rsidR="00D24D1C" w:rsidRPr="00D24D1C">
        <w:rPr>
          <w:noProof/>
          <w:szCs w:val="24"/>
          <w:lang w:val="en-MY"/>
        </w:rPr>
        <w:t>(Juwita et al., 2022)</w:t>
      </w:r>
      <w:r w:rsidRPr="006F3E1C">
        <w:rPr>
          <w:szCs w:val="24"/>
          <w:lang w:val="en-MY"/>
        </w:rPr>
        <w:fldChar w:fldCharType="end"/>
      </w:r>
      <w:r w:rsidRPr="006F3E1C">
        <w:rPr>
          <w:szCs w:val="24"/>
          <w:lang w:val="en-MY"/>
        </w:rPr>
        <w:t>). Conversely, poor economic conditions reduce demand and the company's financial performance. Good stock market conditions, such as the rising Composite Stock Price Index (IHSG), also increase stock demand and returns.</w:t>
      </w:r>
    </w:p>
    <w:p w14:paraId="33BA5A40" w14:textId="10B8ADE7" w:rsidR="006F3E1C" w:rsidRPr="006F3E1C" w:rsidRDefault="006F3E1C" w:rsidP="006F3E1C">
      <w:pPr>
        <w:ind w:firstLine="720"/>
        <w:jc w:val="both"/>
        <w:rPr>
          <w:szCs w:val="24"/>
          <w:lang w:val="en-MY"/>
        </w:rPr>
      </w:pPr>
      <w:r w:rsidRPr="006F3E1C">
        <w:rPr>
          <w:szCs w:val="24"/>
          <w:lang w:val="en-MY"/>
        </w:rPr>
        <w:t xml:space="preserve">Companies listed in the LQ45 index are companies with the highest liquidity and market capitalization on the Indonesian Stock Exchange. The presence of these companies in the index indicates their important position in the Indonesian economy. However, as part of the financial markets, these companies are also exposed to financial risks that may affect their performance. Financial risks can come from various sources, including market fluctuations, changes in interest rates, and internal problems such as financial distress. Therefore, the management of LQ45 indexed companies needs to pay attention to and manage financial risks well in order to maintain their stability and growth in a competitive market. Effective financial risk management can help companies reduce risks and improve financial performance </w:t>
      </w:r>
      <w:r w:rsidRPr="006F3E1C">
        <w:rPr>
          <w:szCs w:val="24"/>
          <w:lang w:val="en-MY"/>
        </w:rPr>
        <w:fldChar w:fldCharType="begin" w:fldLock="1"/>
      </w:r>
      <w:r w:rsidR="00D24D1C">
        <w:rPr>
          <w:szCs w:val="24"/>
          <w:lang w:val="en-MY"/>
        </w:rPr>
        <w:instrText>ADDIN CSL_CITATION {"citationItems":[{"id":"ITEM-1","itemData":{"ISBN":"1119836042","author":[{"dropping-particle":"","family":"Girling","given":"Philippa X","non-dropping-particle":"","parse-names":false,"suffix":""}],"id":"ITEM-1","issued":{"date-parts":[["2022"]]},"publisher":"John Wiley &amp; Sons","title":"Operational Risk Management: A Complete Guide for Banking and Fintech","type":"book"},"uris":["http://www.mendeley.com/documents/?uuid=5229fb54-4899-4e28-8f22-375ec7d45a12"]}],"mendeley":{"formattedCitation":"(Girling, 2022)"},"properties":{"noteIndex":0},"schema":"https://github.com/citation-style-language/schema/raw/master/csl-citation.json"}</w:instrText>
      </w:r>
      <w:r w:rsidRPr="006F3E1C">
        <w:rPr>
          <w:szCs w:val="24"/>
          <w:lang w:val="en-MY"/>
        </w:rPr>
        <w:fldChar w:fldCharType="separate"/>
      </w:r>
      <w:r w:rsidR="00D24D1C" w:rsidRPr="00D24D1C">
        <w:rPr>
          <w:noProof/>
          <w:szCs w:val="24"/>
          <w:lang w:val="en-MY"/>
        </w:rPr>
        <w:t>(Girling, 2022)</w:t>
      </w:r>
      <w:r w:rsidRPr="006F3E1C">
        <w:rPr>
          <w:szCs w:val="24"/>
          <w:lang w:val="en-MY"/>
        </w:rPr>
        <w:fldChar w:fldCharType="end"/>
      </w:r>
      <w:r w:rsidRPr="006F3E1C">
        <w:rPr>
          <w:szCs w:val="24"/>
          <w:lang w:val="en-MY"/>
        </w:rPr>
        <w:t>.</w:t>
      </w:r>
    </w:p>
    <w:p w14:paraId="0F250BF1" w14:textId="7211D3E4" w:rsidR="006F3E1C" w:rsidRPr="006F3E1C" w:rsidRDefault="006F3E1C" w:rsidP="006F3E1C">
      <w:pPr>
        <w:ind w:firstLine="720"/>
        <w:jc w:val="both"/>
        <w:rPr>
          <w:szCs w:val="24"/>
          <w:lang w:val="en-MY"/>
        </w:rPr>
      </w:pPr>
      <w:r w:rsidRPr="006F3E1C">
        <w:rPr>
          <w:szCs w:val="24"/>
          <w:lang w:val="en-MY"/>
        </w:rPr>
        <w:t xml:space="preserve">Previous research shows that financial risk has a positive effect on stock returns. </w:t>
      </w:r>
      <w:r w:rsidRPr="006F3E1C">
        <w:rPr>
          <w:szCs w:val="24"/>
          <w:lang w:val="en-MY"/>
        </w:rPr>
        <w:fldChar w:fldCharType="begin" w:fldLock="1"/>
      </w:r>
      <w:r w:rsidR="00D24D1C">
        <w:rPr>
          <w:szCs w:val="24"/>
          <w:lang w:val="en-MY"/>
        </w:rPr>
        <w:instrText>ADDIN CSL_CITATION {"citationItems":[{"id":"ITEM-1","itemData":{"DOI":"10.24252/ecc.v7i1.13382","ISSN":"2407-6635","abstract":"The estimation carried out in this study is an Autoregressive Distributed Lag (ARDL) analysis model, and use to see long-term and short-term effects Chenaf dan Rougier, 2008; dan Yanikkaya, 2003). Dalam pemahaman teori klasik","author":[{"dropping-particle":"","family":"Handoyo","given":"Rossanto Dwi","non-dropping-particle":"","parse-names":false,"suffix":""},{"dropping-particle":"","family":"Erlando","given":"Angga","non-dropping-particle":"","parse-names":false,"suffix":""},{"dropping-particle":"","family":"Septiyanto","given":"Ilham","non-dropping-particle":"","parse-names":false,"suffix":""}],"container-title":"EcceS (Economics, Social, and Development Studies)","id":"ITEM-1","issue":"1","issued":{"date-parts":[["2020"]]},"page":"1","title":"Dampak Faktor Eksternal Terhadap Pertumbuhan Ekonomi Indonesia","type":"article-journal","volume":"7"},"uris":["http://www.mendeley.com/documents/?uuid=8c709a65-d415-492d-ac71-c66d1129b4c7"]}],"mendeley":{"formattedCitation":"(Handoyo et al., 2020)","manualFormatting":"Handoyo et al. (2020) ","plainTextFormattedCitation":"(Handoyo et al., 2020)","previouslyFormattedCitation":"(Handoyo et al., 2020)"},"properties":{"noteIndex":0},"schema":"https://github.com/citation-style-language/schema/raw/master/csl-citation.json"}</w:instrText>
      </w:r>
      <w:r w:rsidRPr="006F3E1C">
        <w:rPr>
          <w:szCs w:val="24"/>
          <w:lang w:val="en-MY"/>
        </w:rPr>
        <w:fldChar w:fldCharType="separate"/>
      </w:r>
      <w:r w:rsidRPr="006F3E1C">
        <w:rPr>
          <w:noProof/>
          <w:szCs w:val="24"/>
          <w:lang w:val="en-MY"/>
        </w:rPr>
        <w:t xml:space="preserve">Handoyo et al. (2020) </w:t>
      </w:r>
      <w:r w:rsidRPr="006F3E1C">
        <w:rPr>
          <w:szCs w:val="24"/>
          <w:lang w:val="en-MY"/>
        </w:rPr>
        <w:fldChar w:fldCharType="end"/>
      </w:r>
      <w:r w:rsidRPr="006F3E1C">
        <w:rPr>
          <w:szCs w:val="24"/>
          <w:lang w:val="en-MY"/>
        </w:rPr>
        <w:t>found that financial risk has a positive effect on stock returns in companies listed on the IDX indexed LQ45. This research aims to analyze the influence of financial risk and financial distress on company stock returns, with company performance as a moderating variable, in companies listed on the IDX indexed LQ45. It is hoped that the research results will provide useful information for companies, investors and regulators in increasing financial risk and making investment decisions.</w:t>
      </w:r>
    </w:p>
    <w:p w14:paraId="1B47C2FE" w14:textId="77777777" w:rsidR="006F3E1C" w:rsidRPr="00D24D1C" w:rsidRDefault="006F3E1C" w:rsidP="006F3E1C">
      <w:pPr>
        <w:jc w:val="both"/>
        <w:rPr>
          <w:b/>
          <w:szCs w:val="24"/>
          <w:lang w:val="en-MY"/>
        </w:rPr>
      </w:pPr>
      <w:r w:rsidRPr="00D24D1C">
        <w:rPr>
          <w:b/>
          <w:szCs w:val="24"/>
          <w:lang w:val="en-MY"/>
        </w:rPr>
        <w:t>Beta Factor</w:t>
      </w:r>
    </w:p>
    <w:p w14:paraId="2B1044B8" w14:textId="77777777" w:rsidR="006F3E1C" w:rsidRPr="006F3E1C" w:rsidRDefault="00B843FB" w:rsidP="006F3E1C">
      <w:pPr>
        <w:pBdr>
          <w:top w:val="nil"/>
          <w:left w:val="nil"/>
          <w:bottom w:val="nil"/>
          <w:right w:val="nil"/>
          <w:between w:val="nil"/>
        </w:pBdr>
        <w:ind w:firstLine="709"/>
        <w:jc w:val="both"/>
        <w:rPr>
          <w:rFonts w:eastAsia="Arial"/>
          <w:color w:val="000000"/>
          <w:szCs w:val="24"/>
        </w:rPr>
      </w:pPr>
      <w:sdt>
        <w:sdtPr>
          <w:rPr>
            <w:szCs w:val="24"/>
          </w:rPr>
          <w:tag w:val="goog_rdk_24"/>
          <w:id w:val="-1400980175"/>
          <w:showingPlcHdr/>
        </w:sdtPr>
        <w:sdtEndPr/>
        <w:sdtContent>
          <w:r w:rsidR="006F3E1C" w:rsidRPr="006F3E1C">
            <w:rPr>
              <w:szCs w:val="24"/>
            </w:rPr>
            <w:t xml:space="preserve">     </w:t>
          </w:r>
        </w:sdtContent>
      </w:sdt>
      <w:r w:rsidR="006F3E1C" w:rsidRPr="006F3E1C">
        <w:rPr>
          <w:rFonts w:eastAsia="Arial"/>
          <w:color w:val="000000"/>
          <w:szCs w:val="24"/>
        </w:rPr>
        <w:t xml:space="preserve">In the Capital Asset Pricing Model (CAPM), the beta factor is one of the key concepts that measures the sensitivity of an asset to changes in market returns (Zhang, 2017). The beta factor </w:t>
      </w:r>
      <m:oMath>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β</m:t>
            </m:r>
          </m:e>
          <m:sub>
            <m:r>
              <w:rPr>
                <w:rFonts w:ascii="Cambria Math" w:eastAsia="Cambria Math" w:hAnsi="Cambria Math"/>
                <w:color w:val="000000"/>
                <w:szCs w:val="24"/>
              </w:rPr>
              <m:t>i</m:t>
            </m:r>
          </m:sub>
        </m:sSub>
        <m:r>
          <w:rPr>
            <w:rFonts w:ascii="Cambria Math" w:eastAsia="Cambria Math" w:hAnsi="Cambria Math"/>
            <w:color w:val="000000"/>
            <w:szCs w:val="24"/>
          </w:rPr>
          <m:t>)</m:t>
        </m:r>
      </m:oMath>
      <w:r w:rsidR="006F3E1C" w:rsidRPr="006F3E1C">
        <w:rPr>
          <w:rFonts w:eastAsia="Arial"/>
          <w:color w:val="000000"/>
          <w:szCs w:val="24"/>
        </w:rPr>
        <w:t xml:space="preserve">is used to assess how much an asset </w:t>
      </w:r>
      <m:oMath>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i</m:t>
            </m:r>
          </m:sub>
        </m:sSub>
        <m:r>
          <w:rPr>
            <w:rFonts w:ascii="Cambria Math" w:eastAsia="Cambria Math" w:hAnsi="Cambria Math"/>
            <w:color w:val="000000"/>
            <w:szCs w:val="24"/>
          </w:rPr>
          <m:t>)</m:t>
        </m:r>
      </m:oMath>
      <w:r w:rsidR="006F3E1C" w:rsidRPr="006F3E1C">
        <w:rPr>
          <w:rFonts w:eastAsia="Arial"/>
          <w:color w:val="000000"/>
          <w:szCs w:val="24"/>
        </w:rPr>
        <w:t xml:space="preserve">will respond to changes in market returns </w:t>
      </w:r>
      <m:oMath>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m</m:t>
            </m:r>
          </m:sub>
        </m:sSub>
        <m:r>
          <w:rPr>
            <w:rFonts w:ascii="Cambria Math" w:eastAsia="Cambria Math" w:hAnsi="Cambria Math"/>
            <w:color w:val="000000"/>
            <w:szCs w:val="24"/>
          </w:rPr>
          <m:t>)</m:t>
        </m:r>
      </m:oMath>
      <w:r w:rsidR="006F3E1C" w:rsidRPr="006F3E1C">
        <w:rPr>
          <w:rFonts w:eastAsia="Arial"/>
          <w:color w:val="000000"/>
          <w:szCs w:val="24"/>
        </w:rPr>
        <w:t>.</w:t>
      </w:r>
      <w:r w:rsidR="006F3E1C" w:rsidRPr="006F3E1C">
        <w:rPr>
          <w:color w:val="000000"/>
          <w:szCs w:val="24"/>
        </w:rPr>
        <w:t xml:space="preserve"> </w:t>
      </w:r>
      <w:r w:rsidR="006F3E1C" w:rsidRPr="006F3E1C">
        <w:rPr>
          <w:rFonts w:eastAsia="Arial"/>
          <w:color w:val="000000"/>
          <w:szCs w:val="24"/>
        </w:rPr>
        <w:t>CAPM theory states that the expected return of an asset is equal to the risk-free rate plus the risk premium. A risk premium is the compensation given to investors for the risks they take. The risk considered in CAPM theory is systematic risk, namely risk that cannot be diversified. This systematic risk is also known as market risk. The risk premium is measured using the beta of the asset. Beta is a measure of the sensitivity of asset returns to market returns.</w:t>
      </w:r>
    </w:p>
    <w:p w14:paraId="2A291465" w14:textId="77777777" w:rsidR="006F3E1C" w:rsidRPr="006F3E1C" w:rsidRDefault="006F3E1C" w:rsidP="006F3E1C">
      <w:pPr>
        <w:pBdr>
          <w:top w:val="nil"/>
          <w:left w:val="nil"/>
          <w:bottom w:val="nil"/>
          <w:right w:val="nil"/>
          <w:between w:val="nil"/>
        </w:pBdr>
        <w:ind w:firstLine="709"/>
        <w:jc w:val="both"/>
        <w:rPr>
          <w:rFonts w:eastAsia="Arial"/>
          <w:color w:val="000000"/>
          <w:szCs w:val="24"/>
        </w:rPr>
      </w:pPr>
      <w:r w:rsidRPr="006F3E1C">
        <w:rPr>
          <w:rFonts w:eastAsia="Arial"/>
          <w:color w:val="000000"/>
          <w:szCs w:val="24"/>
        </w:rPr>
        <w:t>Beta can be calculated using the following formula (Zhang, 2017):</w:t>
      </w:r>
    </w:p>
    <w:p w14:paraId="05004076" w14:textId="77777777" w:rsidR="006F3E1C" w:rsidRPr="006F3E1C" w:rsidRDefault="00B843FB" w:rsidP="006F3E1C">
      <w:pPr>
        <w:jc w:val="center"/>
        <w:rPr>
          <w:rFonts w:eastAsia="Cambria Math"/>
          <w:color w:val="000000"/>
          <w:szCs w:val="24"/>
        </w:rPr>
      </w:pPr>
      <m:oMathPara>
        <m:oMath>
          <m:sSub>
            <m:sSubPr>
              <m:ctrlPr>
                <w:rPr>
                  <w:rFonts w:ascii="Cambria Math" w:eastAsia="Cambria Math" w:hAnsi="Cambria Math"/>
                  <w:color w:val="000000"/>
                  <w:szCs w:val="24"/>
                </w:rPr>
              </m:ctrlPr>
            </m:sSubPr>
            <m:e>
              <m:r>
                <w:rPr>
                  <w:rFonts w:ascii="Cambria Math" w:hAnsi="Cambria Math"/>
                  <w:szCs w:val="24"/>
                </w:rPr>
                <m:t>β</m:t>
              </m:r>
            </m:e>
            <m:sub>
              <m:r>
                <w:rPr>
                  <w:rFonts w:ascii="Cambria Math" w:eastAsia="Cambria Math" w:hAnsi="Cambria Math"/>
                  <w:color w:val="000000"/>
                  <w:szCs w:val="24"/>
                </w:rPr>
                <m:t>i</m:t>
              </m:r>
            </m:sub>
          </m:sSub>
          <m:r>
            <w:rPr>
              <w:rFonts w:ascii="Cambria Math" w:eastAsia="Cambria Math" w:hAnsi="Cambria Math"/>
              <w:color w:val="000000"/>
              <w:szCs w:val="24"/>
            </w:rPr>
            <m:t>=</m:t>
          </m:r>
          <m:f>
            <m:fPr>
              <m:ctrlPr>
                <w:rPr>
                  <w:rFonts w:ascii="Cambria Math" w:eastAsia="Cambria Math" w:hAnsi="Cambria Math"/>
                  <w:color w:val="000000"/>
                  <w:szCs w:val="24"/>
                </w:rPr>
              </m:ctrlPr>
            </m:fPr>
            <m:num>
              <m:r>
                <w:rPr>
                  <w:rFonts w:ascii="Cambria Math" w:eastAsia="Cambria Math" w:hAnsi="Cambria Math"/>
                  <w:color w:val="000000"/>
                  <w:szCs w:val="24"/>
                </w:rPr>
                <m:t>Cov</m:t>
              </m:r>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i</m:t>
                  </m:r>
                </m:sub>
              </m:sSub>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m</m:t>
                  </m:r>
                </m:sub>
              </m:sSub>
              <m:r>
                <w:rPr>
                  <w:rFonts w:ascii="Cambria Math" w:eastAsia="Cambria Math" w:hAnsi="Cambria Math"/>
                  <w:color w:val="000000"/>
                  <w:szCs w:val="24"/>
                </w:rPr>
                <m:t>)</m:t>
              </m:r>
            </m:num>
            <m:den>
              <m:r>
                <w:rPr>
                  <w:rFonts w:ascii="Cambria Math" w:eastAsia="Cambria Math" w:hAnsi="Cambria Math"/>
                  <w:color w:val="000000"/>
                  <w:szCs w:val="24"/>
                </w:rPr>
                <m:t>Var</m:t>
              </m:r>
              <m:d>
                <m:dPr>
                  <m:ctrlPr>
                    <w:rPr>
                      <w:rFonts w:ascii="Cambria Math" w:eastAsia="Cambria Math" w:hAnsi="Cambria Math"/>
                      <w:color w:val="000000"/>
                      <w:szCs w:val="24"/>
                    </w:rPr>
                  </m:ctrlPr>
                </m:dPr>
                <m:e>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m</m:t>
                      </m:r>
                    </m:sub>
                  </m:sSub>
                </m:e>
              </m:d>
            </m:den>
          </m:f>
        </m:oMath>
      </m:oMathPara>
    </w:p>
    <w:p w14:paraId="75B59334" w14:textId="77777777" w:rsidR="006F3E1C" w:rsidRPr="006F3E1C" w:rsidRDefault="006F3E1C" w:rsidP="006F3E1C">
      <w:pPr>
        <w:pBdr>
          <w:top w:val="nil"/>
          <w:left w:val="nil"/>
          <w:bottom w:val="nil"/>
          <w:right w:val="nil"/>
          <w:between w:val="nil"/>
        </w:pBdr>
        <w:ind w:firstLine="709"/>
        <w:jc w:val="both"/>
        <w:rPr>
          <w:rFonts w:eastAsia="Arial"/>
          <w:color w:val="000000"/>
          <w:szCs w:val="24"/>
        </w:rPr>
      </w:pPr>
      <w:r w:rsidRPr="006F3E1C">
        <w:rPr>
          <w:rFonts w:eastAsia="Arial"/>
          <w:color w:val="000000"/>
          <w:szCs w:val="24"/>
        </w:rPr>
        <w:t>Where:</w:t>
      </w:r>
    </w:p>
    <w:p w14:paraId="51DD35C3" w14:textId="77777777" w:rsidR="006F3E1C" w:rsidRPr="006F3E1C" w:rsidRDefault="00B843FB" w:rsidP="006F3E1C">
      <w:pPr>
        <w:pBdr>
          <w:top w:val="nil"/>
          <w:left w:val="nil"/>
          <w:bottom w:val="nil"/>
          <w:right w:val="nil"/>
          <w:between w:val="nil"/>
        </w:pBdr>
        <w:ind w:firstLine="709"/>
        <w:jc w:val="both"/>
        <w:rPr>
          <w:rFonts w:eastAsia="Arial"/>
          <w:color w:val="000000"/>
          <w:szCs w:val="24"/>
        </w:rPr>
      </w:pPr>
      <m:oMath>
        <m:sSub>
          <m:sSubPr>
            <m:ctrlPr>
              <w:rPr>
                <w:rFonts w:ascii="Cambria Math" w:eastAsia="Cambria Math" w:hAnsi="Cambria Math"/>
                <w:color w:val="000000"/>
                <w:szCs w:val="24"/>
              </w:rPr>
            </m:ctrlPr>
          </m:sSubPr>
          <m:e>
            <m:r>
              <w:rPr>
                <w:rFonts w:ascii="Cambria Math" w:hAnsi="Cambria Math"/>
                <w:szCs w:val="24"/>
              </w:rPr>
              <m:t>β</m:t>
            </m:r>
          </m:e>
          <m:sub>
            <m:r>
              <w:rPr>
                <w:rFonts w:ascii="Cambria Math" w:eastAsia="Cambria Math" w:hAnsi="Cambria Math"/>
                <w:color w:val="000000"/>
                <w:szCs w:val="24"/>
              </w:rPr>
              <m:t>i</m:t>
            </m:r>
          </m:sub>
        </m:sSub>
      </m:oMath>
      <w:r w:rsidR="006F3E1C" w:rsidRPr="006F3E1C">
        <w:rPr>
          <w:rFonts w:eastAsia="Arial"/>
          <w:color w:val="000000"/>
          <w:szCs w:val="24"/>
        </w:rPr>
        <w:tab/>
      </w:r>
      <w:r w:rsidR="006F3E1C" w:rsidRPr="006F3E1C">
        <w:rPr>
          <w:rFonts w:eastAsia="Arial"/>
          <w:color w:val="000000"/>
          <w:szCs w:val="24"/>
        </w:rPr>
        <w:tab/>
        <w:t>: Beta factor of asset i</w:t>
      </w:r>
    </w:p>
    <w:p w14:paraId="2E646E0E" w14:textId="77777777" w:rsidR="006F3E1C" w:rsidRPr="006F3E1C" w:rsidRDefault="006F3E1C" w:rsidP="006F3E1C">
      <w:pPr>
        <w:pBdr>
          <w:top w:val="nil"/>
          <w:left w:val="nil"/>
          <w:bottom w:val="nil"/>
          <w:right w:val="nil"/>
          <w:between w:val="nil"/>
        </w:pBdr>
        <w:ind w:firstLine="709"/>
        <w:jc w:val="both"/>
        <w:rPr>
          <w:rFonts w:eastAsia="Arial"/>
          <w:color w:val="000000"/>
          <w:szCs w:val="24"/>
        </w:rPr>
      </w:pPr>
      <m:oMath>
        <m:r>
          <w:rPr>
            <w:rFonts w:ascii="Cambria Math" w:eastAsia="Cambria Math" w:hAnsi="Cambria Math"/>
            <w:color w:val="000000"/>
            <w:szCs w:val="24"/>
          </w:rPr>
          <w:lastRenderedPageBreak/>
          <m:t>Cov(</m:t>
        </m:r>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i</m:t>
            </m:r>
          </m:sub>
        </m:sSub>
        <m:r>
          <w:rPr>
            <w:rFonts w:ascii="Cambria Math" w:eastAsia="Cambria Math" w:hAnsi="Cambria Math"/>
            <w:color w:val="000000"/>
            <w:szCs w:val="24"/>
          </w:rPr>
          <m:t>,</m:t>
        </m:r>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m</m:t>
            </m:r>
          </m:sub>
        </m:sSub>
        <m:r>
          <w:rPr>
            <w:rFonts w:ascii="Cambria Math" w:eastAsia="Cambria Math" w:hAnsi="Cambria Math"/>
            <w:color w:val="000000"/>
            <w:szCs w:val="24"/>
          </w:rPr>
          <m:t>)</m:t>
        </m:r>
      </m:oMath>
      <w:r w:rsidRPr="006F3E1C">
        <w:rPr>
          <w:rFonts w:eastAsia="Arial"/>
          <w:color w:val="000000"/>
          <w:szCs w:val="24"/>
        </w:rPr>
        <w:tab/>
        <w:t>: Correlation between return on asset i and market return</w:t>
      </w:r>
    </w:p>
    <w:p w14:paraId="5DDEDE5C" w14:textId="77777777" w:rsidR="006F3E1C" w:rsidRPr="006F3E1C" w:rsidRDefault="006F3E1C" w:rsidP="006F3E1C">
      <w:pPr>
        <w:pBdr>
          <w:top w:val="nil"/>
          <w:left w:val="nil"/>
          <w:bottom w:val="nil"/>
          <w:right w:val="nil"/>
          <w:between w:val="nil"/>
        </w:pBdr>
        <w:ind w:firstLine="709"/>
        <w:jc w:val="both"/>
        <w:rPr>
          <w:rFonts w:eastAsia="Arial"/>
          <w:color w:val="000000"/>
          <w:szCs w:val="24"/>
        </w:rPr>
      </w:pPr>
      <m:oMath>
        <m:r>
          <w:rPr>
            <w:rFonts w:ascii="Cambria Math" w:eastAsia="Cambria Math" w:hAnsi="Cambria Math"/>
            <w:color w:val="000000"/>
            <w:szCs w:val="24"/>
          </w:rPr>
          <m:t>Var</m:t>
        </m:r>
        <m:d>
          <m:dPr>
            <m:ctrlPr>
              <w:rPr>
                <w:rFonts w:ascii="Cambria Math" w:eastAsia="Cambria Math" w:hAnsi="Cambria Math"/>
                <w:color w:val="000000"/>
                <w:szCs w:val="24"/>
              </w:rPr>
            </m:ctrlPr>
          </m:dPr>
          <m:e>
            <m:sSub>
              <m:sSubPr>
                <m:ctrlPr>
                  <w:rPr>
                    <w:rFonts w:ascii="Cambria Math" w:eastAsia="Cambria Math" w:hAnsi="Cambria Math"/>
                    <w:color w:val="000000"/>
                    <w:szCs w:val="24"/>
                  </w:rPr>
                </m:ctrlPr>
              </m:sSubPr>
              <m:e>
                <m:r>
                  <w:rPr>
                    <w:rFonts w:ascii="Cambria Math" w:eastAsia="Cambria Math" w:hAnsi="Cambria Math"/>
                    <w:color w:val="000000"/>
                    <w:szCs w:val="24"/>
                  </w:rPr>
                  <m:t>R</m:t>
                </m:r>
              </m:e>
              <m:sub>
                <m:r>
                  <w:rPr>
                    <w:rFonts w:ascii="Cambria Math" w:eastAsia="Cambria Math" w:hAnsi="Cambria Math"/>
                    <w:color w:val="000000"/>
                    <w:szCs w:val="24"/>
                  </w:rPr>
                  <m:t>m</m:t>
                </m:r>
              </m:sub>
            </m:sSub>
          </m:e>
        </m:d>
      </m:oMath>
      <w:r w:rsidRPr="006F3E1C">
        <w:rPr>
          <w:rFonts w:eastAsia="Arial"/>
          <w:color w:val="000000"/>
          <w:szCs w:val="24"/>
        </w:rPr>
        <w:tab/>
        <w:t>: Variance of market returns</w:t>
      </w:r>
    </w:p>
    <w:p w14:paraId="4A055001" w14:textId="77777777" w:rsidR="006F3E1C" w:rsidRPr="006F3E1C" w:rsidRDefault="006F3E1C" w:rsidP="006F3E1C">
      <w:pPr>
        <w:ind w:firstLine="720"/>
        <w:jc w:val="both"/>
        <w:rPr>
          <w:rFonts w:eastAsia="Arial"/>
          <w:color w:val="000000"/>
          <w:szCs w:val="24"/>
        </w:rPr>
      </w:pPr>
      <w:r w:rsidRPr="006F3E1C">
        <w:rPr>
          <w:rFonts w:eastAsia="Arial"/>
          <w:color w:val="000000"/>
          <w:szCs w:val="24"/>
        </w:rPr>
        <w:t>A beta factor equal to 1 indicates that the asset has the same level of sensitivity as the market. If</w:t>
      </w:r>
      <w:r w:rsidRPr="006F3E1C">
        <w:rPr>
          <w:rFonts w:eastAsia="Tahoma"/>
          <w:color w:val="000000"/>
          <w:szCs w:val="24"/>
        </w:rPr>
        <w:t xml:space="preserve"> </w:t>
      </w:r>
      <m:oMath>
        <m:sSub>
          <m:sSubPr>
            <m:ctrlPr>
              <w:rPr>
                <w:rFonts w:ascii="Cambria Math" w:eastAsia="Cambria Math" w:hAnsi="Cambria Math"/>
                <w:color w:val="000000"/>
                <w:szCs w:val="24"/>
              </w:rPr>
            </m:ctrlPr>
          </m:sSubPr>
          <m:e>
            <m:r>
              <w:rPr>
                <w:rFonts w:ascii="Cambria Math" w:hAnsi="Cambria Math"/>
                <w:szCs w:val="24"/>
              </w:rPr>
              <m:t>β</m:t>
            </m:r>
          </m:e>
          <m:sub>
            <m:r>
              <w:rPr>
                <w:rFonts w:ascii="Cambria Math" w:eastAsia="Cambria Math" w:hAnsi="Cambria Math"/>
                <w:color w:val="000000"/>
                <w:szCs w:val="24"/>
              </w:rPr>
              <m:t>i</m:t>
            </m:r>
          </m:sub>
        </m:sSub>
        <m:r>
          <w:rPr>
            <w:rFonts w:ascii="Cambria Math" w:eastAsia="Cambria Math" w:hAnsi="Cambria Math"/>
            <w:color w:val="000000"/>
            <w:szCs w:val="24"/>
          </w:rPr>
          <m:t>&gt;1</m:t>
        </m:r>
      </m:oMath>
      <w:r w:rsidRPr="006F3E1C">
        <w:rPr>
          <w:rFonts w:eastAsia="Arial"/>
          <w:color w:val="000000"/>
          <w:szCs w:val="24"/>
        </w:rPr>
        <w:t xml:space="preserve">, the asset is considered more volatile than the market, whereas if </w:t>
      </w:r>
      <m:oMath>
        <m:sSub>
          <m:sSubPr>
            <m:ctrlPr>
              <w:rPr>
                <w:rFonts w:ascii="Cambria Math" w:eastAsia="Cambria Math" w:hAnsi="Cambria Math"/>
                <w:color w:val="000000"/>
                <w:szCs w:val="24"/>
              </w:rPr>
            </m:ctrlPr>
          </m:sSubPr>
          <m:e>
            <m:r>
              <w:rPr>
                <w:rFonts w:ascii="Cambria Math" w:hAnsi="Cambria Math"/>
                <w:szCs w:val="24"/>
              </w:rPr>
              <m:t>β</m:t>
            </m:r>
          </m:e>
          <m:sub>
            <m:r>
              <w:rPr>
                <w:rFonts w:ascii="Cambria Math" w:eastAsia="Cambria Math" w:hAnsi="Cambria Math"/>
                <w:color w:val="000000"/>
                <w:szCs w:val="24"/>
              </w:rPr>
              <m:t>i</m:t>
            </m:r>
          </m:sub>
        </m:sSub>
        <m:r>
          <w:rPr>
            <w:rFonts w:ascii="Cambria Math" w:eastAsia="Cambria Math" w:hAnsi="Cambria Math"/>
            <w:color w:val="000000"/>
            <w:szCs w:val="24"/>
          </w:rPr>
          <m:t>&lt;1</m:t>
        </m:r>
      </m:oMath>
      <w:r w:rsidRPr="006F3E1C">
        <w:rPr>
          <w:rFonts w:eastAsia="Arial"/>
          <w:color w:val="000000"/>
          <w:szCs w:val="24"/>
        </w:rPr>
        <w:t>the asset is considered less volatile than the market.</w:t>
      </w:r>
    </w:p>
    <w:p w14:paraId="48DB155F" w14:textId="77777777" w:rsidR="006F3E1C" w:rsidRPr="00D24D1C" w:rsidRDefault="006F3E1C" w:rsidP="006F3E1C">
      <w:pPr>
        <w:jc w:val="both"/>
        <w:rPr>
          <w:b/>
          <w:szCs w:val="24"/>
          <w:lang w:val="en-MY"/>
        </w:rPr>
      </w:pPr>
      <w:r w:rsidRPr="00D24D1C">
        <w:rPr>
          <w:b/>
          <w:szCs w:val="24"/>
          <w:lang w:val="en-MY"/>
        </w:rPr>
        <w:t>Interest Rate Risk</w:t>
      </w:r>
    </w:p>
    <w:p w14:paraId="17CFC3A4" w14:textId="77777777" w:rsidR="006F3E1C" w:rsidRPr="006F3E1C" w:rsidRDefault="006F3E1C" w:rsidP="006F3E1C">
      <w:pPr>
        <w:ind w:firstLine="720"/>
        <w:jc w:val="both"/>
        <w:rPr>
          <w:szCs w:val="24"/>
          <w:lang w:val="en-MY"/>
        </w:rPr>
      </w:pPr>
      <w:r w:rsidRPr="006F3E1C">
        <w:rPr>
          <w:szCs w:val="24"/>
          <w:lang w:val="en-MY"/>
        </w:rPr>
        <w:t>Interest Rate Risk Theory in detail is the risk faced by companies due to changes in interest rates. Eugene Fama (1970) in (Campbell, 2014) defines interest rate risk as the impact arising from unexpected changes in interest rates. According to Fama, this risk can have the potential to have a negative impact on company value, triggering a decrease in revenue, an increase in costs, or even increasing the risk of default (Campbell, 2014). Robert Merton continued the development of the Interest Rate Risk theory by including the time dimension into his analysis.</w:t>
      </w:r>
    </w:p>
    <w:p w14:paraId="18913429" w14:textId="77777777" w:rsidR="006F3E1C" w:rsidRPr="006F3E1C" w:rsidRDefault="006F3E1C" w:rsidP="006F3E1C">
      <w:pPr>
        <w:jc w:val="center"/>
        <w:rPr>
          <w:rFonts w:eastAsia="Cambria Math"/>
          <w:color w:val="000000"/>
          <w:szCs w:val="24"/>
        </w:rPr>
      </w:pPr>
      <m:oMathPara>
        <m:oMath>
          <m:r>
            <w:rPr>
              <w:rFonts w:ascii="Cambria Math" w:eastAsia="Cambria Math" w:hAnsi="Cambria Math"/>
              <w:color w:val="000000"/>
              <w:szCs w:val="24"/>
            </w:rPr>
            <m:t>∆Y=a+b∆X+ε</m:t>
          </m:r>
        </m:oMath>
      </m:oMathPara>
    </w:p>
    <w:p w14:paraId="158ACA9C" w14:textId="77777777" w:rsidR="006F3E1C" w:rsidRPr="006F3E1C" w:rsidRDefault="006F3E1C" w:rsidP="006F3E1C">
      <w:pPr>
        <w:pBdr>
          <w:top w:val="nil"/>
          <w:left w:val="nil"/>
          <w:bottom w:val="nil"/>
          <w:right w:val="nil"/>
          <w:between w:val="nil"/>
        </w:pBdr>
        <w:ind w:left="46"/>
        <w:jc w:val="both"/>
        <w:rPr>
          <w:rFonts w:eastAsia="Arial"/>
          <w:color w:val="000000"/>
          <w:szCs w:val="24"/>
        </w:rPr>
      </w:pPr>
      <w:r w:rsidRPr="006F3E1C">
        <w:rPr>
          <w:rFonts w:eastAsia="Arial"/>
          <w:color w:val="000000"/>
          <w:szCs w:val="24"/>
        </w:rPr>
        <w:t>With:</w:t>
      </w:r>
    </w:p>
    <w:p w14:paraId="088B819E" w14:textId="77777777" w:rsidR="006F3E1C" w:rsidRPr="006F3E1C" w:rsidRDefault="006F3E1C" w:rsidP="006F3E1C">
      <w:pPr>
        <w:pBdr>
          <w:top w:val="nil"/>
          <w:left w:val="nil"/>
          <w:bottom w:val="nil"/>
          <w:right w:val="nil"/>
          <w:between w:val="nil"/>
        </w:pBdr>
        <w:ind w:left="46"/>
        <w:jc w:val="both"/>
        <w:rPr>
          <w:rFonts w:eastAsia="Arial"/>
          <w:color w:val="000000"/>
          <w:szCs w:val="24"/>
        </w:rPr>
      </w:pPr>
      <m:oMath>
        <m:r>
          <w:rPr>
            <w:rFonts w:ascii="Cambria Math" w:eastAsia="Cambria Math" w:hAnsi="Cambria Math"/>
            <w:color w:val="000000"/>
            <w:szCs w:val="24"/>
          </w:rPr>
          <m:t>∆Y</m:t>
        </m:r>
      </m:oMath>
      <w:r w:rsidRPr="006F3E1C">
        <w:rPr>
          <w:rFonts w:eastAsia="Arial"/>
          <w:color w:val="000000"/>
          <w:szCs w:val="24"/>
        </w:rPr>
        <w:t>: Closing Price</w:t>
      </w:r>
    </w:p>
    <w:p w14:paraId="6AF82DB0" w14:textId="128608AD" w:rsidR="006F3E1C" w:rsidRPr="006F3E1C" w:rsidRDefault="006F3E1C" w:rsidP="006F3E1C">
      <w:pPr>
        <w:pBdr>
          <w:top w:val="nil"/>
          <w:left w:val="nil"/>
          <w:bottom w:val="nil"/>
          <w:right w:val="nil"/>
          <w:between w:val="nil"/>
        </w:pBdr>
        <w:ind w:left="46"/>
        <w:jc w:val="both"/>
        <w:rPr>
          <w:rFonts w:eastAsia="Arial"/>
          <w:color w:val="000000"/>
          <w:szCs w:val="24"/>
          <w:lang w:val="id-ID"/>
        </w:rPr>
      </w:pPr>
      <m:oMath>
        <m:r>
          <w:rPr>
            <w:rFonts w:ascii="Cambria Math" w:eastAsia="Cambria Math" w:hAnsi="Cambria Math"/>
            <w:szCs w:val="24"/>
          </w:rPr>
          <m:t>X</m:t>
        </m:r>
      </m:oMath>
      <w:r w:rsidR="00D24D1C">
        <w:rPr>
          <w:rFonts w:eastAsia="Arial"/>
          <w:szCs w:val="24"/>
        </w:rPr>
        <w:t>: BI-Rate</w:t>
      </w:r>
    </w:p>
    <w:p w14:paraId="4DFDA7FB" w14:textId="77777777" w:rsidR="006F3E1C" w:rsidRPr="006F3E1C" w:rsidRDefault="006F3E1C" w:rsidP="006F3E1C">
      <w:pPr>
        <w:jc w:val="both"/>
        <w:rPr>
          <w:b/>
          <w:szCs w:val="24"/>
          <w:lang w:val="en-MY"/>
        </w:rPr>
      </w:pPr>
      <w:r w:rsidRPr="006F3E1C">
        <w:rPr>
          <w:b/>
          <w:szCs w:val="24"/>
          <w:lang w:val="en-MY"/>
        </w:rPr>
        <w:t>Financial Distress</w:t>
      </w:r>
    </w:p>
    <w:p w14:paraId="17222985" w14:textId="77777777" w:rsidR="006F3E1C" w:rsidRPr="006F3E1C" w:rsidRDefault="006F3E1C" w:rsidP="006F3E1C">
      <w:pPr>
        <w:ind w:firstLine="720"/>
        <w:jc w:val="both"/>
        <w:rPr>
          <w:rFonts w:eastAsia="Arial"/>
          <w:color w:val="000000"/>
          <w:szCs w:val="24"/>
        </w:rPr>
      </w:pPr>
      <w:r w:rsidRPr="006F3E1C">
        <w:rPr>
          <w:rFonts w:eastAsia="Arial"/>
          <w:i/>
          <w:color w:val="000000"/>
          <w:szCs w:val="24"/>
        </w:rPr>
        <w:t xml:space="preserve">Financial distress </w:t>
      </w:r>
      <w:r w:rsidRPr="006F3E1C">
        <w:rPr>
          <w:rFonts w:eastAsia="Arial"/>
          <w:color w:val="000000"/>
          <w:szCs w:val="24"/>
        </w:rPr>
        <w:t>is a condition where a company experiences difficulty in fulfilling its obligations financially, which can lead to the risk of bankruptcy. According to Weston and Brigham (2020), this condition occurs when a company is unable to fulfill its obligations in a sustainable manner. Platt and Platt (2002) define financial distress as a stage of decline in financial conditions that occurs before bankruptcy or liquidation occurs. Smith and Smith (2005) state that financial distress is a situation where a company cannot generate sufficient cash flow to meet its short-term and long-term obligations.</w:t>
      </w:r>
    </w:p>
    <w:p w14:paraId="149F84EC" w14:textId="77777777" w:rsidR="006F3E1C" w:rsidRPr="006F3E1C" w:rsidRDefault="006F3E1C" w:rsidP="006F3E1C">
      <w:pPr>
        <w:pBdr>
          <w:top w:val="nil"/>
          <w:left w:val="nil"/>
          <w:bottom w:val="nil"/>
          <w:right w:val="nil"/>
          <w:between w:val="nil"/>
        </w:pBdr>
        <w:ind w:firstLine="720"/>
        <w:jc w:val="both"/>
        <w:rPr>
          <w:rFonts w:eastAsia="Arial"/>
          <w:color w:val="000000"/>
          <w:szCs w:val="24"/>
        </w:rPr>
      </w:pPr>
      <w:r w:rsidRPr="006F3E1C">
        <w:rPr>
          <w:rFonts w:eastAsia="Arial"/>
          <w:color w:val="000000"/>
          <w:szCs w:val="24"/>
        </w:rPr>
        <w:t>Measuring financial distress using the Altman Z-Score involves five financial ratios which are calculated based on data from the company's financial reports.</w:t>
      </w:r>
      <w:r w:rsidRPr="006F3E1C">
        <w:rPr>
          <w:rFonts w:eastAsia="Arial"/>
          <w:color w:val="000000"/>
          <w:szCs w:val="24"/>
          <w:lang w:val="en-US"/>
        </w:rPr>
        <w:t xml:space="preserve"> </w:t>
      </w:r>
      <w:r w:rsidRPr="006F3E1C">
        <w:rPr>
          <w:rFonts w:eastAsia="Arial"/>
          <w:color w:val="000000"/>
          <w:szCs w:val="24"/>
        </w:rPr>
        <w:t>Altman Z-Score score can be calculated using the following formula (Altman, 1968):</w:t>
      </w:r>
    </w:p>
    <w:p w14:paraId="46BB0EA7" w14:textId="77777777" w:rsidR="006F3E1C" w:rsidRPr="006F3E1C" w:rsidRDefault="00B843FB" w:rsidP="006F3E1C">
      <w:pPr>
        <w:jc w:val="center"/>
        <w:rPr>
          <w:rFonts w:eastAsia="Cambria Math"/>
          <w:color w:val="000000"/>
          <w:szCs w:val="24"/>
        </w:rPr>
      </w:pPr>
      <m:oMathPara>
        <m:oMath>
          <m:sSub>
            <m:sSubPr>
              <m:ctrlPr>
                <w:rPr>
                  <w:rFonts w:ascii="Cambria Math" w:eastAsia="Cambria Math" w:hAnsi="Cambria Math"/>
                  <w:color w:val="000000"/>
                  <w:szCs w:val="24"/>
                </w:rPr>
              </m:ctrlPr>
            </m:sSubPr>
            <m:e>
              <m:r>
                <w:rPr>
                  <w:rFonts w:ascii="Cambria Math" w:eastAsia="Cambria Math" w:hAnsi="Cambria Math"/>
                  <w:color w:val="000000"/>
                  <w:szCs w:val="24"/>
                </w:rPr>
                <m:t>Z</m:t>
              </m:r>
            </m:e>
            <m:sub>
              <m:r>
                <w:rPr>
                  <w:rFonts w:ascii="Cambria Math" w:eastAsia="Cambria Math" w:hAnsi="Cambria Math"/>
                  <w:color w:val="000000"/>
                  <w:szCs w:val="24"/>
                </w:rPr>
                <m:t>score</m:t>
              </m:r>
            </m:sub>
          </m:sSub>
          <m:r>
            <w:rPr>
              <w:rFonts w:ascii="Cambria Math" w:eastAsia="Cambria Math" w:hAnsi="Cambria Math"/>
              <w:color w:val="000000"/>
              <w:szCs w:val="24"/>
            </w:rPr>
            <m:t xml:space="preserve">=1.2 </m:t>
          </m:r>
          <m:f>
            <m:fPr>
              <m:ctrlPr>
                <w:rPr>
                  <w:rFonts w:ascii="Cambria Math" w:eastAsia="Cambria Math" w:hAnsi="Cambria Math"/>
                  <w:color w:val="000000"/>
                  <w:szCs w:val="24"/>
                </w:rPr>
              </m:ctrlPr>
            </m:fPr>
            <m:num>
              <m:r>
                <w:rPr>
                  <w:rFonts w:ascii="Cambria Math" w:eastAsia="Cambria Math" w:hAnsi="Cambria Math"/>
                  <w:color w:val="000000"/>
                  <w:szCs w:val="24"/>
                </w:rPr>
                <m:t>WC</m:t>
              </m:r>
            </m:num>
            <m:den>
              <m:r>
                <w:rPr>
                  <w:rFonts w:ascii="Cambria Math" w:eastAsia="Cambria Math" w:hAnsi="Cambria Math"/>
                  <w:color w:val="000000"/>
                  <w:szCs w:val="24"/>
                </w:rPr>
                <m:t>TA</m:t>
              </m:r>
            </m:den>
          </m:f>
          <m:r>
            <w:rPr>
              <w:rFonts w:ascii="Cambria Math" w:eastAsia="Cambria Math" w:hAnsi="Cambria Math"/>
              <w:color w:val="000000"/>
              <w:szCs w:val="24"/>
            </w:rPr>
            <m:t>+1.4</m:t>
          </m:r>
          <m:f>
            <m:fPr>
              <m:ctrlPr>
                <w:rPr>
                  <w:rFonts w:ascii="Cambria Math" w:eastAsia="Cambria Math" w:hAnsi="Cambria Math"/>
                  <w:color w:val="000000"/>
                  <w:szCs w:val="24"/>
                </w:rPr>
              </m:ctrlPr>
            </m:fPr>
            <m:num>
              <m:r>
                <w:rPr>
                  <w:rFonts w:ascii="Cambria Math" w:eastAsia="Cambria Math" w:hAnsi="Cambria Math"/>
                  <w:color w:val="000000"/>
                  <w:szCs w:val="24"/>
                </w:rPr>
                <m:t>RE</m:t>
              </m:r>
            </m:num>
            <m:den>
              <m:r>
                <w:rPr>
                  <w:rFonts w:ascii="Cambria Math" w:eastAsia="Cambria Math" w:hAnsi="Cambria Math"/>
                  <w:color w:val="000000"/>
                  <w:szCs w:val="24"/>
                </w:rPr>
                <m:t>TA</m:t>
              </m:r>
            </m:den>
          </m:f>
          <m:r>
            <w:rPr>
              <w:rFonts w:ascii="Cambria Math" w:eastAsia="Cambria Math" w:hAnsi="Cambria Math"/>
              <w:color w:val="000000"/>
              <w:szCs w:val="24"/>
            </w:rPr>
            <m:t>+3.3</m:t>
          </m:r>
          <m:f>
            <m:fPr>
              <m:ctrlPr>
                <w:rPr>
                  <w:rFonts w:ascii="Cambria Math" w:eastAsia="Cambria Math" w:hAnsi="Cambria Math"/>
                  <w:color w:val="000000"/>
                  <w:szCs w:val="24"/>
                </w:rPr>
              </m:ctrlPr>
            </m:fPr>
            <m:num>
              <m:r>
                <w:rPr>
                  <w:rFonts w:ascii="Cambria Math" w:eastAsia="Cambria Math" w:hAnsi="Cambria Math"/>
                  <w:color w:val="000000"/>
                  <w:szCs w:val="24"/>
                </w:rPr>
                <m:t>EBIT</m:t>
              </m:r>
            </m:num>
            <m:den>
              <m:r>
                <w:rPr>
                  <w:rFonts w:ascii="Cambria Math" w:eastAsia="Cambria Math" w:hAnsi="Cambria Math"/>
                  <w:color w:val="000000"/>
                  <w:szCs w:val="24"/>
                </w:rPr>
                <m:t>TA</m:t>
              </m:r>
            </m:den>
          </m:f>
          <m:r>
            <w:rPr>
              <w:rFonts w:ascii="Cambria Math" w:eastAsia="Cambria Math" w:hAnsi="Cambria Math"/>
              <w:color w:val="000000"/>
              <w:szCs w:val="24"/>
            </w:rPr>
            <m:t>+0.6</m:t>
          </m:r>
          <m:f>
            <m:fPr>
              <m:ctrlPr>
                <w:rPr>
                  <w:rFonts w:ascii="Cambria Math" w:eastAsia="Cambria Math" w:hAnsi="Cambria Math"/>
                  <w:color w:val="000000"/>
                  <w:szCs w:val="24"/>
                </w:rPr>
              </m:ctrlPr>
            </m:fPr>
            <m:num>
              <m:r>
                <w:rPr>
                  <w:rFonts w:ascii="Cambria Math" w:eastAsia="Cambria Math" w:hAnsi="Cambria Math"/>
                  <w:color w:val="000000"/>
                  <w:szCs w:val="24"/>
                </w:rPr>
                <m:t>MVE</m:t>
              </m:r>
            </m:num>
            <m:den>
              <m:r>
                <w:rPr>
                  <w:rFonts w:ascii="Cambria Math" w:eastAsia="Cambria Math" w:hAnsi="Cambria Math"/>
                  <w:color w:val="000000"/>
                  <w:szCs w:val="24"/>
                </w:rPr>
                <m:t>TL</m:t>
              </m:r>
            </m:den>
          </m:f>
          <m:r>
            <w:rPr>
              <w:rFonts w:ascii="Cambria Math" w:eastAsia="Cambria Math" w:hAnsi="Cambria Math"/>
              <w:color w:val="000000"/>
              <w:szCs w:val="24"/>
            </w:rPr>
            <m:t>+1.0</m:t>
          </m:r>
          <m:f>
            <m:fPr>
              <m:ctrlPr>
                <w:rPr>
                  <w:rFonts w:ascii="Cambria Math" w:eastAsia="Cambria Math" w:hAnsi="Cambria Math"/>
                  <w:color w:val="000000"/>
                  <w:szCs w:val="24"/>
                </w:rPr>
              </m:ctrlPr>
            </m:fPr>
            <m:num>
              <m:r>
                <w:rPr>
                  <w:rFonts w:ascii="Cambria Math" w:eastAsia="Cambria Math" w:hAnsi="Cambria Math"/>
                  <w:color w:val="000000"/>
                  <w:szCs w:val="24"/>
                </w:rPr>
                <m:t>S</m:t>
              </m:r>
            </m:num>
            <m:den>
              <m:r>
                <w:rPr>
                  <w:rFonts w:ascii="Cambria Math" w:eastAsia="Cambria Math" w:hAnsi="Cambria Math"/>
                  <w:color w:val="000000"/>
                  <w:szCs w:val="24"/>
                </w:rPr>
                <m:t>TA</m:t>
              </m:r>
            </m:den>
          </m:f>
        </m:oMath>
      </m:oMathPara>
    </w:p>
    <w:p w14:paraId="112DE9FF" w14:textId="77777777" w:rsidR="006F3E1C" w:rsidRPr="006F3E1C" w:rsidRDefault="006F3E1C" w:rsidP="006F3E1C">
      <w:pPr>
        <w:pBdr>
          <w:top w:val="nil"/>
          <w:left w:val="nil"/>
          <w:bottom w:val="nil"/>
          <w:right w:val="nil"/>
          <w:between w:val="nil"/>
        </w:pBdr>
        <w:ind w:firstLine="720"/>
        <w:jc w:val="both"/>
        <w:rPr>
          <w:rFonts w:eastAsia="Arial"/>
          <w:color w:val="000000"/>
          <w:szCs w:val="24"/>
          <w:lang w:val="en-US"/>
        </w:rPr>
      </w:pPr>
      <w:r w:rsidRPr="006F3E1C">
        <w:rPr>
          <w:rFonts w:eastAsia="Arial"/>
          <w:color w:val="000000"/>
          <w:szCs w:val="24"/>
        </w:rPr>
        <w:t xml:space="preserve">A high WC/TA value indicates that the company has enough working capital to cover its short-term obligations. </w:t>
      </w:r>
      <w:r w:rsidRPr="006F3E1C">
        <w:rPr>
          <w:rFonts w:eastAsia="Arial"/>
          <w:color w:val="000000"/>
          <w:szCs w:val="24"/>
          <w:lang w:val="en-US"/>
        </w:rPr>
        <w:t>A high RE/TA indicates that the company has accumulated sufficient profits to support its assets. A high EBIT/TA value indicates that the company generates high operating profits compared to its total assets. A high MVE/TL value indicates that the market has a positive perception of the company. Meanwhile, a high S/TA value indicates that the company is able to generate high sales using relatively low total assets.</w:t>
      </w:r>
    </w:p>
    <w:p w14:paraId="2976A07F" w14:textId="77777777" w:rsidR="006F3E1C" w:rsidRPr="006F3E1C" w:rsidRDefault="006F3E1C" w:rsidP="006F3E1C">
      <w:pPr>
        <w:pBdr>
          <w:top w:val="nil"/>
          <w:left w:val="nil"/>
          <w:bottom w:val="nil"/>
          <w:right w:val="nil"/>
          <w:between w:val="nil"/>
        </w:pBdr>
        <w:jc w:val="both"/>
        <w:rPr>
          <w:rFonts w:eastAsia="Arial"/>
          <w:color w:val="000000"/>
          <w:szCs w:val="24"/>
          <w:lang w:val="en-US"/>
        </w:rPr>
      </w:pPr>
      <w:r w:rsidRPr="006F3E1C">
        <w:rPr>
          <w:rFonts w:eastAsia="Arial"/>
          <w:color w:val="000000"/>
          <w:szCs w:val="24"/>
          <w:lang w:val="en-US"/>
        </w:rPr>
        <w:t>Company performance</w:t>
      </w:r>
    </w:p>
    <w:p w14:paraId="46F7FF34" w14:textId="67039C31" w:rsidR="006F3E1C" w:rsidRPr="006F3E1C" w:rsidRDefault="006F3E1C" w:rsidP="006F3E1C">
      <w:pPr>
        <w:pBdr>
          <w:top w:val="nil"/>
          <w:left w:val="nil"/>
          <w:bottom w:val="nil"/>
          <w:right w:val="nil"/>
          <w:between w:val="nil"/>
        </w:pBdr>
        <w:ind w:firstLine="720"/>
        <w:jc w:val="both"/>
        <w:rPr>
          <w:rFonts w:eastAsia="Arial"/>
          <w:color w:val="000000"/>
          <w:szCs w:val="24"/>
          <w:lang w:val="en-US"/>
        </w:rPr>
      </w:pPr>
      <w:r w:rsidRPr="006F3E1C">
        <w:rPr>
          <w:rFonts w:eastAsia="Arial"/>
          <w:color w:val="000000"/>
          <w:szCs w:val="24"/>
          <w:lang w:val="en-US"/>
        </w:rPr>
        <w:t xml:space="preserve">Company performance is an evaluation of how well the company achieves its stated goals. This definition emphasizes the use of metrics and indicators to measure goal achievement, as expressed by Peter Drucker in </w:t>
      </w:r>
      <w:r w:rsidRPr="006F3E1C">
        <w:rPr>
          <w:rFonts w:eastAsia="Arial"/>
          <w:color w:val="000000"/>
          <w:szCs w:val="24"/>
          <w:lang w:val="en-US"/>
        </w:rPr>
        <w:fldChar w:fldCharType="begin" w:fldLock="1"/>
      </w:r>
      <w:r w:rsidR="00D24D1C">
        <w:rPr>
          <w:rFonts w:eastAsia="Arial"/>
          <w:color w:val="000000"/>
          <w:szCs w:val="24"/>
          <w:lang w:val="en-US"/>
        </w:rPr>
        <w:instrText>ADDIN CSL_CITATION {"citationItems":[{"id":"ITEM-1","itemData":{"author":[{"dropping-particle":"","family":"Ezilmez","given":"Bilal","non-dropping-particle":"","parse-names":false,"suffix":""}],"container-title":"Eurasian Journal of Researches in Social and Economics (EJRSE)","id":"ITEM-1","issued":{"date-parts":[["2020"]]},"page":"210-221","title":"DRUCKER AND THE SPIRIT OF MANAGEMENT","type":"article-journal","volume":"9"},"uris":["http://www.mendeley.com/documents/?uuid=56ff41cc-9233-4d61-adcd-37bd918239e9"]}],"mendeley":{"formattedCitation":"(Ezilmez, 2020)"},"properties":{"noteIndex":0},"schema":"https://github.com/citation-style-language/schema/raw/master/csl-citation.json"}</w:instrText>
      </w:r>
      <w:r w:rsidRPr="006F3E1C">
        <w:rPr>
          <w:rFonts w:eastAsia="Arial"/>
          <w:color w:val="000000"/>
          <w:szCs w:val="24"/>
          <w:lang w:val="en-US"/>
        </w:rPr>
        <w:fldChar w:fldCharType="separate"/>
      </w:r>
      <w:r w:rsidR="00D24D1C" w:rsidRPr="00D24D1C">
        <w:rPr>
          <w:rFonts w:eastAsia="Arial"/>
          <w:noProof/>
          <w:color w:val="000000"/>
          <w:szCs w:val="24"/>
          <w:lang w:val="en-US"/>
        </w:rPr>
        <w:t>(Ezilmez, 2020)</w:t>
      </w:r>
      <w:r w:rsidRPr="006F3E1C">
        <w:rPr>
          <w:rFonts w:eastAsia="Arial"/>
          <w:color w:val="000000"/>
          <w:szCs w:val="24"/>
          <w:lang w:val="en-US"/>
        </w:rPr>
        <w:fldChar w:fldCharType="end"/>
      </w:r>
      <w:r w:rsidRPr="006F3E1C">
        <w:rPr>
          <w:rFonts w:eastAsia="Arial"/>
          <w:color w:val="000000"/>
          <w:szCs w:val="24"/>
          <w:lang w:val="en-US"/>
        </w:rPr>
        <w:t xml:space="preserve">. Company performance is often measured through financial reports, which provide a comprehensive picture of the company's financial and operational health </w:t>
      </w:r>
      <w:r w:rsidRPr="006F3E1C">
        <w:rPr>
          <w:rFonts w:eastAsia="Arial"/>
          <w:color w:val="000000"/>
          <w:szCs w:val="24"/>
          <w:lang w:val="en-US"/>
        </w:rPr>
        <w:fldChar w:fldCharType="begin" w:fldLock="1"/>
      </w:r>
      <w:r w:rsidR="00D24D1C">
        <w:rPr>
          <w:rFonts w:eastAsia="Arial"/>
          <w:color w:val="000000"/>
          <w:szCs w:val="24"/>
          <w:lang w:val="en-US"/>
        </w:rPr>
        <w:instrText>ADDIN CSL_CITATION {"citationItems":[{"id":"ITEM-1","itemData":{"DOI":"10.48042/jurakunman.v14i1.74","ISSN":"2086-681X","abstract":"ABSTRAK\r \r Modal intelektual saat ini sangat dibutuhkan perusahaan untuk meningkatkan kinerja perusahaan dalam hal ini mengenai nilai perusahaan. Tujuan penelitian ini untuk mengetahui pengaruh modal intelektual terhadap nilai perusahaan dengan kinerja keuangan sebagai variabel intervening. Populasi penelitian ini adalah perusahaan yang listing di IDX dan sampel adalah perusahaan sub sektor real estate dengan memakai purposive sampling. Data yang digunakan adalah laporan keuangan tahun 2015-2017 yang berjumlah sebanyak 60 sampel. Adapun hasil yang didapatkan adalah Tidak ada pengaruh antara Modal intelektual (VAIC) terhadap kinerja keuangan yang (ROE).Modal intelektual belum dapat sebagai alat pengambil keputusan untuk meningkatkan Nilai perusahaan. Berdasarkan hasil meneilitian menunjukkann bahwa tidak ada pengaruh Modal intelektual (VAIC) terhadap nilai perusahaan (PER). Ada pengaruh secara tidak langsung antara Modal intelektual (VAIC) terhadap nilai perusahaan (PER) melalui Kinerja Perusahaan ( ROE ). \r Secara simultan yaitu Modal Intelektual (VAIC) dan Kinerja Perusahaan ada pengaruh yang signifikan terhadap Nilai Perusahaan.\r \r Kata kunci: Modal intelektual, kinerja keuangan, nilai perusahaan","author":[{"dropping-particle":"","family":"Sitohang","given":"Dirjon","non-dropping-particle":"","parse-names":false,"suffix":""},{"dropping-particle":"","family":"Manik","given":"Josua","non-dropping-particle":"","parse-names":false,"suffix":""}],"container-title":"Jurakunman (Jurnal Akuntansi dan Manajemen)","id":"ITEM-1","issue":"1","issued":{"date-parts":[["2021"]]},"page":"54","title":"Pengaruh Modal Intelektual Terhadap Nilai Perusahaan Dengan Kinerja Keuangan Sebagai Variabel Intervening Pada Perusahaan Sub Sektor Real Estate Yang Terdaftar Di Bursa Efek Indonesia","type":"article-journal","volume":"14"},"uris":["http://www.mendeley.com/documents/?uuid=adf0e66f-da4b-4254-879d-b35fc0a9309b"]}],"mendeley":{"formattedCitation":"(Sitohang &amp; Manik, 2021)"},"properties":{"noteIndex":0},"schema":"https://github.com/citation-style-language/schema/raw/master/csl-citation.json"}</w:instrText>
      </w:r>
      <w:r w:rsidRPr="006F3E1C">
        <w:rPr>
          <w:rFonts w:eastAsia="Arial"/>
          <w:color w:val="000000"/>
          <w:szCs w:val="24"/>
          <w:lang w:val="en-US"/>
        </w:rPr>
        <w:fldChar w:fldCharType="separate"/>
      </w:r>
      <w:r w:rsidR="00D24D1C" w:rsidRPr="00D24D1C">
        <w:rPr>
          <w:rFonts w:eastAsia="Arial"/>
          <w:noProof/>
          <w:color w:val="000000"/>
          <w:szCs w:val="24"/>
          <w:lang w:val="en-US"/>
        </w:rPr>
        <w:t>(Sitohang &amp; Manik, 2021)</w:t>
      </w:r>
      <w:r w:rsidRPr="006F3E1C">
        <w:rPr>
          <w:rFonts w:eastAsia="Arial"/>
          <w:color w:val="000000"/>
          <w:szCs w:val="24"/>
          <w:lang w:val="en-US"/>
        </w:rPr>
        <w:fldChar w:fldCharType="end"/>
      </w:r>
      <w:r w:rsidRPr="006F3E1C">
        <w:rPr>
          <w:rFonts w:eastAsia="Arial"/>
          <w:color w:val="000000"/>
          <w:szCs w:val="24"/>
          <w:lang w:val="en-US"/>
        </w:rPr>
        <w:t>. Financial reports serve not only as financial documentation, but also as an important evaluation tool for understanding the extent to which a company is achieving its financial and operational goals.</w:t>
      </w:r>
    </w:p>
    <w:p w14:paraId="33064A47" w14:textId="77777777" w:rsidR="006F3E1C" w:rsidRPr="006F3E1C" w:rsidRDefault="006F3E1C" w:rsidP="006F3E1C">
      <w:pPr>
        <w:pBdr>
          <w:top w:val="nil"/>
          <w:left w:val="nil"/>
          <w:bottom w:val="nil"/>
          <w:right w:val="nil"/>
          <w:between w:val="nil"/>
        </w:pBdr>
        <w:ind w:firstLine="720"/>
        <w:jc w:val="both"/>
        <w:rPr>
          <w:rFonts w:eastAsia="Arial"/>
          <w:color w:val="000000"/>
          <w:szCs w:val="24"/>
          <w:lang w:val="en-US"/>
        </w:rPr>
      </w:pPr>
      <m:oMathPara>
        <m:oMath>
          <m:r>
            <w:rPr>
              <w:rFonts w:ascii="Cambria Math" w:eastAsia="Cambria Math" w:hAnsi="Cambria Math"/>
              <w:szCs w:val="24"/>
            </w:rPr>
            <m:t>ROA=</m:t>
          </m:r>
          <m:f>
            <m:fPr>
              <m:ctrlPr>
                <w:rPr>
                  <w:rFonts w:ascii="Cambria Math" w:eastAsia="Cambria Math" w:hAnsi="Cambria Math"/>
                  <w:szCs w:val="24"/>
                </w:rPr>
              </m:ctrlPr>
            </m:fPr>
            <m:num>
              <m:r>
                <w:rPr>
                  <w:rFonts w:ascii="Cambria Math" w:eastAsia="Cambria Math" w:hAnsi="Cambria Math"/>
                  <w:szCs w:val="24"/>
                </w:rPr>
                <m:t>Net Profit</m:t>
              </m:r>
            </m:num>
            <m:den>
              <m:r>
                <w:rPr>
                  <w:rFonts w:ascii="Cambria Math" w:eastAsia="Cambria Math" w:hAnsi="Cambria Math"/>
                  <w:szCs w:val="24"/>
                </w:rPr>
                <m:t>Total Asset</m:t>
              </m:r>
            </m:den>
          </m:f>
          <m:r>
            <w:rPr>
              <w:rFonts w:ascii="Cambria Math" w:eastAsia="Cambria Math" w:hAnsi="Cambria Math"/>
              <w:szCs w:val="24"/>
            </w:rPr>
            <m:t>100%</m:t>
          </m:r>
        </m:oMath>
      </m:oMathPara>
    </w:p>
    <w:p w14:paraId="135C5E36" w14:textId="77777777" w:rsidR="006F3E1C" w:rsidRPr="00D24D1C" w:rsidRDefault="006F3E1C" w:rsidP="006F3E1C">
      <w:pPr>
        <w:pBdr>
          <w:top w:val="nil"/>
          <w:left w:val="nil"/>
          <w:bottom w:val="nil"/>
          <w:right w:val="nil"/>
          <w:between w:val="nil"/>
        </w:pBdr>
        <w:jc w:val="both"/>
        <w:rPr>
          <w:rFonts w:eastAsia="Arial"/>
          <w:b/>
          <w:color w:val="000000"/>
          <w:szCs w:val="24"/>
          <w:lang w:val="en-US"/>
        </w:rPr>
      </w:pPr>
      <w:r w:rsidRPr="00D24D1C">
        <w:rPr>
          <w:rFonts w:eastAsia="Arial"/>
          <w:b/>
          <w:color w:val="000000"/>
          <w:szCs w:val="24"/>
          <w:lang w:val="en-US"/>
        </w:rPr>
        <w:lastRenderedPageBreak/>
        <w:t>Stock returns</w:t>
      </w:r>
    </w:p>
    <w:p w14:paraId="5996FDFB" w14:textId="77777777" w:rsidR="006F3E1C" w:rsidRPr="006F3E1C" w:rsidRDefault="006F3E1C" w:rsidP="006F3E1C">
      <w:pPr>
        <w:pBdr>
          <w:top w:val="nil"/>
          <w:left w:val="nil"/>
          <w:bottom w:val="nil"/>
          <w:right w:val="nil"/>
          <w:between w:val="nil"/>
        </w:pBdr>
        <w:ind w:firstLine="709"/>
        <w:jc w:val="both"/>
        <w:rPr>
          <w:rFonts w:eastAsia="Arial"/>
          <w:color w:val="000000"/>
          <w:szCs w:val="24"/>
        </w:rPr>
      </w:pPr>
      <w:r w:rsidRPr="006F3E1C">
        <w:rPr>
          <w:rFonts w:eastAsia="Arial"/>
          <w:color w:val="000000"/>
          <w:szCs w:val="24"/>
          <w:lang w:val="en-US"/>
        </w:rPr>
        <w:t xml:space="preserve">Stock return is the rate of return that investors obtain from their investment in shares. This definition emphasizes the aspect of the rate of return obtained, which can be measured using various metrics based on company financial information (Munawir, 2007; Cahyani et al., 2015; Dewi, 2019). Internal factors such as company performance which includes profitability, dividends distributed to shareholders, and financial policies such as debt policy, influence stock returns significantly (Munawir, 2015). On the other hand, external factors such as economic conditions, industrial competition and technological advances also play a role in determining stock prices and ultimately the stock returns obtained by investors (Munawir, 2015). </w:t>
      </w:r>
      <w:r w:rsidRPr="006F3E1C">
        <w:rPr>
          <w:rFonts w:eastAsia="Arial"/>
          <w:color w:val="000000"/>
          <w:szCs w:val="24"/>
        </w:rPr>
        <w:t>The basic formula used is:</w:t>
      </w:r>
    </w:p>
    <w:p w14:paraId="109A6126" w14:textId="77777777" w:rsidR="006F3E1C" w:rsidRPr="006F3E1C" w:rsidRDefault="006F3E1C" w:rsidP="006F3E1C">
      <w:pPr>
        <w:pBdr>
          <w:top w:val="nil"/>
          <w:left w:val="nil"/>
          <w:bottom w:val="nil"/>
          <w:right w:val="nil"/>
          <w:between w:val="nil"/>
        </w:pBdr>
        <w:ind w:firstLine="709"/>
        <w:jc w:val="both"/>
        <w:rPr>
          <w:rFonts w:eastAsia="Arial"/>
          <w:color w:val="000000"/>
          <w:szCs w:val="24"/>
        </w:rPr>
      </w:pPr>
    </w:p>
    <w:p w14:paraId="0D8DB5EA" w14:textId="3D72B32E" w:rsidR="006F3E1C" w:rsidRPr="00D24D1C" w:rsidRDefault="00D24D1C" w:rsidP="006F3E1C">
      <w:pPr>
        <w:jc w:val="center"/>
        <w:rPr>
          <w:rFonts w:eastAsia="Cambria Math"/>
          <w:color w:val="000000"/>
          <w:szCs w:val="24"/>
        </w:rPr>
      </w:pPr>
      <m:oMathPara>
        <m:oMath>
          <m:r>
            <m:rPr>
              <m:sty m:val="p"/>
            </m:rPr>
            <w:rPr>
              <w:rFonts w:ascii="Cambria Math" w:eastAsia="Cambria Math" w:hAnsi="Cambria Math"/>
              <w:color w:val="000000"/>
              <w:szCs w:val="24"/>
            </w:rPr>
            <m:t>Return realization=</m:t>
          </m:r>
          <m:f>
            <m:fPr>
              <m:ctrlPr>
                <w:rPr>
                  <w:rFonts w:ascii="Cambria Math" w:eastAsia="Cambria Math" w:hAnsi="Cambria Math"/>
                  <w:color w:val="000000"/>
                  <w:szCs w:val="24"/>
                </w:rPr>
              </m:ctrlPr>
            </m:fPr>
            <m:num>
              <m:r>
                <m:rPr>
                  <m:sty m:val="p"/>
                </m:rPr>
                <w:rPr>
                  <w:rFonts w:ascii="Cambria Math" w:eastAsia="Cambria Math" w:hAnsi="Cambria Math"/>
                  <w:color w:val="000000"/>
                  <w:szCs w:val="24"/>
                </w:rPr>
                <m:t>Final stock prices-Initial share price</m:t>
              </m:r>
            </m:num>
            <m:den>
              <m:r>
                <m:rPr>
                  <m:sty m:val="p"/>
                </m:rPr>
                <w:rPr>
                  <w:rFonts w:ascii="Cambria Math" w:eastAsia="Cambria Math" w:hAnsi="Cambria Math"/>
                  <w:color w:val="000000"/>
                  <w:szCs w:val="24"/>
                </w:rPr>
                <m:t>Initial share price</m:t>
              </m:r>
            </m:den>
          </m:f>
        </m:oMath>
      </m:oMathPara>
    </w:p>
    <w:p w14:paraId="62A07EC2" w14:textId="700849F1" w:rsidR="006F3E1C" w:rsidRPr="006F3E1C" w:rsidRDefault="006F3E1C" w:rsidP="006F3E1C">
      <w:pPr>
        <w:ind w:firstLine="720"/>
        <w:jc w:val="both"/>
        <w:rPr>
          <w:szCs w:val="24"/>
          <w:lang w:val="en-US"/>
        </w:rPr>
      </w:pPr>
      <w:r w:rsidRPr="006F3E1C">
        <w:rPr>
          <w:szCs w:val="24"/>
          <w:lang w:val="en-US"/>
        </w:rPr>
        <w:t xml:space="preserve">Based on theoretical studies and previous research, this research proposes six hypotheses to test the influence of financial risk management and company performance on stock returns of energy sector companies listed on the Indonesia Stock Exchange for the 2019-2023 period. The first hypothesis tests the effect of interest rate risk on stock returns, which is based on the Capital Asset Pricing Model (CAPM) theory which shows that changes in interest rates can affect expected stock returns. The second hypothesis states that the beta factor influences stock returns, with the beta factor measuring the stock's sensitivity to overall market changes. The third hypothesis investigates the effect of financial distress on stock returns, referring to the finding that companies in financial distress tend to have lower stock returns </w:t>
      </w:r>
      <w:r w:rsidRPr="006F3E1C">
        <w:rPr>
          <w:szCs w:val="24"/>
          <w:lang w:val="en-US"/>
        </w:rPr>
        <w:fldChar w:fldCharType="begin" w:fldLock="1"/>
      </w:r>
      <w:r w:rsidR="00D24D1C">
        <w:rPr>
          <w:szCs w:val="24"/>
          <w:lang w:val="en-US"/>
        </w:rPr>
        <w:instrText>ADDIN CSL_CITATION {"citationItems":[{"id":"ITEM-1","itemData":{"DOI":"10.37403/sultanist.v2i2.36","ISSN":"2338-4328","abstract":"Penelitian ini bertujuan untuk mengetahui gambaran financial distress (Altman Z-Score) dan return saham serta untuk mengetahui pengaruh financial distress terhadap return saham pada Perusahaan Sektor Aneka Industri yang terdaftar di Bursa Efek Indonesia untuk periode 2009 sampai dengan periode 2013. Penelitian ini menggunakan desain penelitian kepustakaan dengan sumber data yang digunakan adalah data sekunder berupa laporan keuangan dan harga saham Perusahaan Sektor Aneka Industri yang terdaftar di Bursa Efek Indonesia. Data tersebut diolah dengan menggunakan teknik analisis data yaitu analisis Altman Z-Score Data z-score yang telah diketahui tersebut kemudian dianalisis dengan menggunakan analisis deskriptif yaitu terdiri dari analisis deskriptif kualitatif dan kuantitatif. Dalam penelitian ini digunakan instrumen penelitian berupa statistik deskriptif, analisis regresi linier sederhana, uji asumsi klasik dan uji hipotesis. Hasil penelitian ini menunjukkan bahwa financial distress (Altman Z-Score)berpengaruh positif dan tidak signifikan terhadap return saham. Hal tersebut berdasarkan hasil analisis regresi linier sederhana yaitu ArtanRt = 0,124 + 0,109 ArtanFd + yang menunjukkan bahwa financial distress berpengaruh positif terhadap return saham. Dari hasil uji t diperoleh hasil bahwa thitung &lt; ttabel atau 1,310 &lt; 1,97730 sedangkan tingkat signifikansi yang diperoleh adalah 0,193 &gt; 0,05 yang menunjukkan bahwa financial distress berpengaruh tidak signifikan terhadap return saham.","author":[{"dropping-particle":"","family":"Julini","given":"Debby","non-dropping-particle":"","parse-names":false,"suffix":""},{"dropping-particle":"","family":"Siahaan","given":"Yansen","non-dropping-particle":"","parse-names":false,"suffix":""},{"dropping-particle":"","family":"Sinaga","given":"Mahaitin","non-dropping-particle":"","parse-names":false,"suffix":""},{"dropping-particle":"","family":"Purba","given":"Rosanna","non-dropping-particle":"","parse-names":false,"suffix":""}],"container-title":"SULTANIST: Jurnal Manajemen dan Keuangan","id":"ITEM-1","issue":"2","issued":{"date-parts":[["2018"]]},"page":"47-52","title":"Pengaruh Financial Distress (Altman Z-Score) Terhadap Return Saham Pada Perusahaan Sektor Aneka Industri Yang Terdaftar Di Bursa Efek Indonesia","type":"article-journal","volume":"2"},"uris":["http://www.mendeley.com/documents/?uuid=e16c5181-780b-4f6d-99e2-a61c574914e5"]}],"mendeley":{"formattedCitation":"(Julini et al., 2018)"},"properties":{"noteIndex":0},"schema":"https://github.com/citation-style-language/schema/raw/master/csl-citation.json"}</w:instrText>
      </w:r>
      <w:r w:rsidRPr="006F3E1C">
        <w:rPr>
          <w:szCs w:val="24"/>
          <w:lang w:val="en-US"/>
        </w:rPr>
        <w:fldChar w:fldCharType="separate"/>
      </w:r>
      <w:r w:rsidR="00D24D1C" w:rsidRPr="00D24D1C">
        <w:rPr>
          <w:noProof/>
          <w:szCs w:val="24"/>
          <w:lang w:val="en-US"/>
        </w:rPr>
        <w:t>(Julini et al., 2018)</w:t>
      </w:r>
      <w:r w:rsidRPr="006F3E1C">
        <w:rPr>
          <w:szCs w:val="24"/>
          <w:lang w:val="en-US"/>
        </w:rPr>
        <w:fldChar w:fldCharType="end"/>
      </w:r>
      <w:r w:rsidRPr="006F3E1C">
        <w:rPr>
          <w:szCs w:val="24"/>
          <w:lang w:val="en-US"/>
        </w:rPr>
        <w:t xml:space="preserve">. The fourth to sixth hypotheses introduce a moderation dimension by company performance (ROA) on the relationship between interest rate risk, beta factor, and financial distress with stock returns. Jorion and Shiller (1995) in </w:t>
      </w:r>
      <w:r w:rsidRPr="006F3E1C">
        <w:rPr>
          <w:szCs w:val="24"/>
          <w:lang w:val="en-US"/>
        </w:rPr>
        <w:fldChar w:fldCharType="begin" w:fldLock="1"/>
      </w:r>
      <w:r w:rsidR="00D24D1C">
        <w:rPr>
          <w:szCs w:val="24"/>
          <w:lang w:val="en-US"/>
        </w:rPr>
        <w:instrText>ADDIN CSL_CITATION {"citationItems":[{"id":"ITEM-1","itemData":{"DOI":"10.1111/sjoe.12070","ISSN":"14679442","abstract":"The Nobel Memorial Prize in Economic Sciences for 2013 was awarded to Eugene Fama, Lars Peter Hansen, and Robert Shiller for their contributions to the empirical study of asset pricing. Some observers have found it hard to understand the common elements of the laureates' research, preferring to highlight areas of disagreement among them. In this paper, I argue that empirical asset pricing is a coherent enterprise, which owes much to the laureates' influential contributions, and that important themes in the literature can best be understood by considering the laureates in pairs. Specifically, after summarizing modern asset-pricing theory using the stochastic discount factor as an organizing framework, I discuss the following: the joint hypothesis problem in tests of market efficiency, which is as much an opportunity as a problem (Fama and Hansen); patterns of short- and long-term predictability in asset returns (Fama and Shiller); and models of deviations from rational expectations (Hansen and Shiller). I conclude by reviewing the ways in which the laureates have already influenced the practice of finance, and how they might influence future innovations. © The editors of The Scandinavian Journal of Economics 2014.","author":[{"dropping-particle":"","family":"Campbell","given":"John Y.","non-dropping-particle":"","parse-names":false,"suffix":""}],"container-title":"Scandinavian Journal of Economics","id":"ITEM-1","issue":"3","issued":{"date-parts":[["2014"]]},"page":"593-634","title":"Empirical Asset Pricing: Eugene Fama, Lars Peter Hansen, and Robert Shiller","type":"article-journal","volume":"116"},"uris":["http://www.mendeley.com/documents/?uuid=280f0840-fc0c-4757-a92f-a92bc6abb0ff"]}],"mendeley":{"formattedCitation":"(Campbell, 2014)"},"properties":{"noteIndex":0},"schema":"https://github.com/citation-style-language/schema/raw/master/csl-citation.json"}</w:instrText>
      </w:r>
      <w:r w:rsidRPr="006F3E1C">
        <w:rPr>
          <w:szCs w:val="24"/>
          <w:lang w:val="en-US"/>
        </w:rPr>
        <w:fldChar w:fldCharType="separate"/>
      </w:r>
      <w:r w:rsidR="00D24D1C" w:rsidRPr="00D24D1C">
        <w:rPr>
          <w:noProof/>
          <w:szCs w:val="24"/>
          <w:lang w:val="en-US"/>
        </w:rPr>
        <w:t>(Campbell, 2014)</w:t>
      </w:r>
      <w:r w:rsidRPr="006F3E1C">
        <w:rPr>
          <w:szCs w:val="24"/>
          <w:lang w:val="en-US"/>
        </w:rPr>
        <w:fldChar w:fldCharType="end"/>
      </w:r>
      <w:r w:rsidRPr="006F3E1C">
        <w:rPr>
          <w:szCs w:val="24"/>
          <w:lang w:val="en-US"/>
        </w:rPr>
        <w:t xml:space="preserve">found that investors were more sensitive to the beta factor for companies with low ROA compared to companies with high ROA. Meanwhile, research by </w:t>
      </w:r>
      <w:r w:rsidRPr="006F3E1C">
        <w:rPr>
          <w:szCs w:val="24"/>
          <w:lang w:val="en-US"/>
        </w:rPr>
        <w:fldChar w:fldCharType="begin" w:fldLock="1"/>
      </w:r>
      <w:r w:rsidR="00D24D1C">
        <w:rPr>
          <w:szCs w:val="24"/>
          <w:lang w:val="en-US"/>
        </w:rPr>
        <w:instrText>ADDIN CSL_CITATION {"citationItems":[{"id":"ITEM-1","itemData":{"DOI":"10.5267/j.ac.2021.4.026","ISSN":"23697393","abstract":"This study aims to determine the relationship between financial distress and systematic risk, the relationship between financial distress and profitability, the relationship between systematic risk and stock returns, the relationship between profitability and stock returns, and the indirect effect between financial distress and stock returns through systematic risk and company profitability. by collecting data on the Indonesia Stock Exchange on chemical companies and the element industry in 2018-2020. This study was conducted to find out the answers to the impact caused by the global economic turmoil. Using the PLS-SEM method and four latent variables, which are divided into one endogenous variable, two moderating variables and one exogenous variable, it is hoped that it can provide value for the statistical calculation activities carried out. This study uses a quantitative descriptive method with two moderating variables that link financial distress and stock returns. This study produces a specific indirect effect; the financial distress variable significantly impacts Stock Return through systematic risk and profitability variables with a p-value &lt; 0.05. The main finding of this study is the significant impact of world economic turmoil that must be faced by creating systematic risk to convince. Investors and provide education to potential investors.","author":[{"dropping-particle":"","family":"Nugroho","given":"Mulyanto","non-dropping-particle":"","parse-names":false,"suffix":""},{"dropping-particle":"","family":"Arif","given":"Donny","non-dropping-particle":"","parse-names":false,"suffix":""},{"dropping-particle":"","family":"Halik","given":"Abdul","non-dropping-particle":"","parse-names":false,"suffix":""}],"container-title":"Accounting","id":"ITEM-1","issue":"7","issued":{"date-parts":[["2021"]]},"page":"1717-1724","title":"The effect of financial distress on stock returns, through systematic risk and profitability as mediator variables","type":"article-journal","volume":"7"},"uris":["http://www.mendeley.com/documents/?uuid=a69ee728-3bdb-4ea4-8958-09716008d42a"]}],"mendeley":{"formattedCitation":"(Nugroho et al., 2021)","manualFormatting":"Nugroho et al. (2021) ","plainTextFormattedCitation":"(Nugroho et al., 2021)","previouslyFormattedCitation":"(Nugroho et al., 2021)"},"properties":{"noteIndex":0},"schema":"https://github.com/citation-style-language/schema/raw/master/csl-citation.json"}</w:instrText>
      </w:r>
      <w:r w:rsidRPr="006F3E1C">
        <w:rPr>
          <w:szCs w:val="24"/>
          <w:lang w:val="en-US"/>
        </w:rPr>
        <w:fldChar w:fldCharType="separate"/>
      </w:r>
      <w:r w:rsidRPr="006F3E1C">
        <w:rPr>
          <w:noProof/>
          <w:szCs w:val="24"/>
          <w:lang w:val="en-US"/>
        </w:rPr>
        <w:t xml:space="preserve">Nugroho et al. (2021) </w:t>
      </w:r>
      <w:r w:rsidRPr="006F3E1C">
        <w:rPr>
          <w:szCs w:val="24"/>
          <w:lang w:val="en-US"/>
        </w:rPr>
        <w:fldChar w:fldCharType="end"/>
      </w:r>
      <w:r w:rsidRPr="006F3E1C">
        <w:rPr>
          <w:szCs w:val="24"/>
          <w:lang w:val="en-US"/>
        </w:rPr>
        <w:t xml:space="preserve">found that financial distress had a significant impact on stock returns with systematic risk and profitability variables taken into consideration. This shows that the relationship between financial distress and stock returns is influenced by the company's financial performance, which is a key component of company performance. Another study by </w:t>
      </w:r>
      <w:r w:rsidRPr="006F3E1C">
        <w:rPr>
          <w:szCs w:val="24"/>
          <w:lang w:val="en-US"/>
        </w:rPr>
        <w:fldChar w:fldCharType="begin" w:fldLock="1"/>
      </w:r>
      <w:r w:rsidR="00D24D1C">
        <w:rPr>
          <w:szCs w:val="24"/>
          <w:lang w:val="en-US"/>
        </w:rPr>
        <w:instrText>ADDIN CSL_CITATION {"citationItems":[{"id":"ITEM-1","itemData":{"abstract":"Banyaknya lembaga kesehatan saat ini menyebabkan lembaga-lembaga kesehatan tersebut harus meningkatkan kualitas layanan yang diberikan agar kepuasan pasien tinggi sehingga loyalitas dari pelanggan tetap terjaga ataupun semakin bertambah. Salah satu lembaga kesehatan yang ada di lingkungan kampus adalah Medical Center ITS. Medical Center ITS merupakan lembaga kesehatan yang diperuntukkan bagi para mahasiswa ITS dan dapat melayani masyarakat umum. Walaupun fasilitas layanan yang tersedia di Medical Center ITS cukup lengkap, namun karena banyaknya lembaga kesehatan yang ada, ingin dilakukan penelitian mengenai tingkat loyalitas dari pengunjung Medical Center ITS. Variabel-variabel yang digunakan dalam penelitian ini merupakan variabel laten, maka peneliti menggunakan metode Structural Equation Modeling-Partial Least Square (SEM-PLS) dengan sampel sebanyak 232 responden. Hasil analisis SEM-PLS menunjukkan bahwa semua indikator yang digunakan telah valid dan reliabel dalam mengukur variabel laten. Variabel kepuasan dan loyalitas memiliki nilai R2 yang lemah dengan masing-masing sebesar 42,8% dan 27,2% serta nilai Q2 sebesar 0,584 (lebih dari nol) artinya pemodelan loyalitas pasien memiliki prediksi yang relevan. Kemudian pada pengujian hipotesis didapatkan hasil bahwa semua indikator berpengaruh positif terhadap variabel latennya. Kualitas layanan berpengaruh positif terhadap kepuasan dan loyalitas pasien di Medical Center ITS sebesar 0,654 dan 0,329. Begitu juga dengan variabel kepuasan yang memberikan pengaruh positif terhadap loyalitas pasien sebesar 0,243","author":[{"dropping-particle":"","family":"Halimah","given":"Siti Nur","non-dropping-particle":"","parse-names":false,"suffix":""}],"id":"ITEM-1","issued":{"date-parts":[["2017"]]},"page":"1-95","title":"Analisis Pengaruh Kualitas Layanan dan Kepuasan Terhadap Loyalitas Pasien di Medical Center ITS dengan Metode Structural Equation Modeling Partial Least Square (SEM-PLS)","type":"article-journal"},"uris":["http://www.mendeley.com/documents/?uuid=6afeb362-0a35-46cd-8a31-92bbbb1d742f"]}],"mendeley":{"formattedCitation":"(Halimah, 2017)","manualFormatting":"Halimah (2017) ","plainTextFormattedCitation":"(Halimah, 2017)","previouslyFormattedCitation":"(Halimah, 2017)"},"properties":{"noteIndex":0},"schema":"https://github.com/citation-style-language/schema/raw/master/csl-citation.json"}</w:instrText>
      </w:r>
      <w:r w:rsidRPr="006F3E1C">
        <w:rPr>
          <w:szCs w:val="24"/>
          <w:lang w:val="en-US"/>
        </w:rPr>
        <w:fldChar w:fldCharType="separate"/>
      </w:r>
      <w:r w:rsidRPr="006F3E1C">
        <w:rPr>
          <w:noProof/>
          <w:szCs w:val="24"/>
          <w:lang w:val="en-US"/>
        </w:rPr>
        <w:t xml:space="preserve">Halimah (2017) </w:t>
      </w:r>
      <w:r w:rsidRPr="006F3E1C">
        <w:rPr>
          <w:szCs w:val="24"/>
          <w:lang w:val="en-US"/>
        </w:rPr>
        <w:fldChar w:fldCharType="end"/>
      </w:r>
      <w:r w:rsidRPr="006F3E1C">
        <w:rPr>
          <w:szCs w:val="24"/>
          <w:lang w:val="en-US"/>
        </w:rPr>
        <w:t>investigated the share price performance of companies that had restructured their financial conditions after being classified as financially distressed. This study finds that there are large negative abnormal returns in the 200 days following the emergence of financial distress, meaning that a company's financial health at the time of restructuring plays an important role in determining its stock performance. In detail, the research hypothesis proposed in this study is as follows.</w:t>
      </w:r>
    </w:p>
    <w:p w14:paraId="422BBC22" w14:textId="77777777" w:rsidR="006F3E1C" w:rsidRPr="006F3E1C" w:rsidRDefault="006F3E1C" w:rsidP="00BB560C">
      <w:pPr>
        <w:ind w:left="540" w:hanging="540"/>
        <w:jc w:val="both"/>
        <w:rPr>
          <w:szCs w:val="24"/>
          <w:lang w:val="en-US"/>
        </w:rPr>
      </w:pPr>
      <w:r w:rsidRPr="006F3E1C">
        <w:rPr>
          <w:szCs w:val="24"/>
          <w:lang w:val="en-US"/>
        </w:rPr>
        <w:t>H1: Interest rate risk influences stock returns in energy sector companies listed on the Indonesia Stock Exchange for the 2019 - 2023 period</w:t>
      </w:r>
    </w:p>
    <w:p w14:paraId="22DD2E28" w14:textId="77777777" w:rsidR="006F3E1C" w:rsidRPr="006F3E1C" w:rsidRDefault="006F3E1C" w:rsidP="00BB560C">
      <w:pPr>
        <w:ind w:left="540" w:hanging="540"/>
        <w:jc w:val="both"/>
        <w:rPr>
          <w:szCs w:val="24"/>
          <w:lang w:val="en-US"/>
        </w:rPr>
      </w:pPr>
      <w:r w:rsidRPr="006F3E1C">
        <w:rPr>
          <w:szCs w:val="24"/>
          <w:lang w:val="en-US"/>
        </w:rPr>
        <w:t>H2: the beta factor influences stock returns in energy sector companies listed on the Indonesia Stock Exchange for the 2019 - 2023 period</w:t>
      </w:r>
    </w:p>
    <w:p w14:paraId="1A408B27" w14:textId="77777777" w:rsidR="006F3E1C" w:rsidRPr="006F3E1C" w:rsidRDefault="006F3E1C" w:rsidP="00BB560C">
      <w:pPr>
        <w:ind w:left="540" w:hanging="540"/>
        <w:jc w:val="both"/>
        <w:rPr>
          <w:szCs w:val="24"/>
          <w:lang w:val="en-US"/>
        </w:rPr>
      </w:pPr>
      <w:r w:rsidRPr="006F3E1C">
        <w:rPr>
          <w:szCs w:val="24"/>
          <w:lang w:val="en-US"/>
        </w:rPr>
        <w:t>H3: Financial Distress influences stock returns in energy sector companies listed on the Indonesia Stock Exchange for the 2019 - 2023 period</w:t>
      </w:r>
    </w:p>
    <w:p w14:paraId="392709BF" w14:textId="77777777" w:rsidR="006F3E1C" w:rsidRPr="006F3E1C" w:rsidRDefault="006F3E1C" w:rsidP="00BB560C">
      <w:pPr>
        <w:ind w:left="540" w:hanging="540"/>
        <w:jc w:val="both"/>
        <w:rPr>
          <w:szCs w:val="24"/>
          <w:lang w:val="en-US"/>
        </w:rPr>
      </w:pPr>
      <w:r w:rsidRPr="006F3E1C">
        <w:rPr>
          <w:szCs w:val="24"/>
          <w:lang w:val="en-US"/>
        </w:rPr>
        <w:t>H4: company performance (ROA) moderates the influence of interest rate risk on stock returns in LQ45 indexed companies listed on the Indonesia Stock Exchange for the 2019 - 2023 period</w:t>
      </w:r>
    </w:p>
    <w:p w14:paraId="29ADAF2B" w14:textId="77777777" w:rsidR="006F3E1C" w:rsidRPr="006F3E1C" w:rsidRDefault="006F3E1C" w:rsidP="00BB560C">
      <w:pPr>
        <w:ind w:left="540" w:hanging="540"/>
        <w:jc w:val="both"/>
        <w:rPr>
          <w:szCs w:val="24"/>
          <w:lang w:val="en-US"/>
        </w:rPr>
      </w:pPr>
      <w:r w:rsidRPr="006F3E1C">
        <w:rPr>
          <w:szCs w:val="24"/>
          <w:lang w:val="en-US"/>
        </w:rPr>
        <w:t>H5: company performance (ROA) moderates the influence of the beta factor on stock returns in LQ45 indexed companies listed on the Indonesia Stock Exchange for the 2019 - 2023 period</w:t>
      </w:r>
    </w:p>
    <w:p w14:paraId="0725C2BE" w14:textId="24116864" w:rsidR="006F3E1C" w:rsidRDefault="006F3E1C" w:rsidP="00BB560C">
      <w:pPr>
        <w:ind w:left="540" w:hanging="540"/>
        <w:jc w:val="both"/>
        <w:rPr>
          <w:szCs w:val="24"/>
          <w:lang w:val="en-US"/>
        </w:rPr>
      </w:pPr>
      <w:r w:rsidRPr="006F3E1C">
        <w:rPr>
          <w:szCs w:val="24"/>
          <w:lang w:val="en-US"/>
        </w:rPr>
        <w:t>H6: company performance (ROA) moderates the effect of financial distress on stock returns in LQ45 indexed companies listed on the Indonesia Stock Exchange for the 2019 - 2023 period</w:t>
      </w:r>
    </w:p>
    <w:p w14:paraId="4ADE8F2E" w14:textId="77777777" w:rsidR="006F3E1C" w:rsidRPr="006F3E1C" w:rsidRDefault="006F3E1C" w:rsidP="006F3E1C">
      <w:pPr>
        <w:ind w:left="360" w:hanging="360"/>
        <w:jc w:val="both"/>
        <w:rPr>
          <w:szCs w:val="24"/>
          <w:lang w:val="en-US"/>
        </w:rPr>
      </w:pPr>
    </w:p>
    <w:p w14:paraId="4EAC9664" w14:textId="77777777" w:rsidR="006F3E1C" w:rsidRPr="006F3E1C" w:rsidRDefault="006F3E1C" w:rsidP="006F3E1C">
      <w:pPr>
        <w:ind w:left="360" w:hanging="360"/>
        <w:jc w:val="center"/>
        <w:rPr>
          <w:szCs w:val="24"/>
          <w:lang w:val="en-US"/>
        </w:rPr>
      </w:pPr>
      <w:r w:rsidRPr="006F3E1C">
        <w:rPr>
          <w:noProof/>
          <w:szCs w:val="24"/>
          <w:lang w:val="id-ID"/>
        </w:rPr>
        <mc:AlternateContent>
          <mc:Choice Requires="wpg">
            <w:drawing>
              <wp:inline distT="0" distB="0" distL="0" distR="0" wp14:anchorId="38092082" wp14:editId="7911D5E5">
                <wp:extent cx="4835525" cy="2771140"/>
                <wp:effectExtent l="0" t="0" r="3175" b="10160"/>
                <wp:docPr id="68" name="Group 68"/>
                <wp:cNvGraphicFramePr/>
                <a:graphic xmlns:a="http://schemas.openxmlformats.org/drawingml/2006/main">
                  <a:graphicData uri="http://schemas.microsoft.com/office/word/2010/wordprocessingGroup">
                    <wpg:wgp>
                      <wpg:cNvGrpSpPr/>
                      <wpg:grpSpPr>
                        <a:xfrm>
                          <a:off x="0" y="0"/>
                          <a:ext cx="4835525" cy="2771140"/>
                          <a:chOff x="2915500" y="2381700"/>
                          <a:chExt cx="4861000" cy="2796600"/>
                        </a:xfrm>
                      </wpg:grpSpPr>
                      <wpg:grpSp>
                        <wpg:cNvPr id="69" name="Group 69"/>
                        <wpg:cNvGrpSpPr/>
                        <wpg:grpSpPr>
                          <a:xfrm>
                            <a:off x="2928238" y="2394430"/>
                            <a:ext cx="4835525" cy="2771140"/>
                            <a:chOff x="0" y="0"/>
                            <a:chExt cx="4835704" cy="2771585"/>
                          </a:xfrm>
                        </wpg:grpSpPr>
                        <wps:wsp>
                          <wps:cNvPr id="70" name="Rectangle 70"/>
                          <wps:cNvSpPr/>
                          <wps:spPr>
                            <a:xfrm>
                              <a:off x="0" y="0"/>
                              <a:ext cx="4835700" cy="2771575"/>
                            </a:xfrm>
                            <a:prstGeom prst="rect">
                              <a:avLst/>
                            </a:prstGeom>
                            <a:noFill/>
                            <a:ln>
                              <a:noFill/>
                            </a:ln>
                          </wps:spPr>
                          <wps:txbx>
                            <w:txbxContent>
                              <w:p w14:paraId="1CCB157F" w14:textId="77777777" w:rsidR="006F3E1C" w:rsidRDefault="006F3E1C" w:rsidP="006F3E1C">
                                <w:pPr>
                                  <w:textDirection w:val="btLr"/>
                                </w:pPr>
                              </w:p>
                            </w:txbxContent>
                          </wps:txbx>
                          <wps:bodyPr spcFirstLastPara="1" wrap="square" lIns="91425" tIns="91425" rIns="91425" bIns="91425" anchor="ctr" anchorCtr="0">
                            <a:noAutofit/>
                          </wps:bodyPr>
                        </wps:wsp>
                        <wps:wsp>
                          <wps:cNvPr id="71" name="Rounded Rectangle 71"/>
                          <wps:cNvSpPr/>
                          <wps:spPr>
                            <a:xfrm>
                              <a:off x="6823" y="0"/>
                              <a:ext cx="1730839" cy="377563"/>
                            </a:xfrm>
                            <a:prstGeom prst="roundRect">
                              <a:avLst>
                                <a:gd name="adj" fmla="val 0"/>
                              </a:avLst>
                            </a:prstGeom>
                            <a:solidFill>
                              <a:schemeClr val="lt1"/>
                            </a:solidFill>
                            <a:ln w="25400" cap="flat" cmpd="sng">
                              <a:solidFill>
                                <a:schemeClr val="dk1"/>
                              </a:solidFill>
                              <a:prstDash val="solid"/>
                              <a:round/>
                              <a:headEnd type="none" w="sm" len="sm"/>
                              <a:tailEnd type="none" w="sm" len="sm"/>
                            </a:ln>
                          </wps:spPr>
                          <wps:txbx>
                            <w:txbxContent>
                              <w:p w14:paraId="3604653B" w14:textId="3E9B48F2" w:rsidR="006F3E1C" w:rsidRPr="006F3E1C" w:rsidRDefault="00D24D1C" w:rsidP="006F3E1C">
                                <w:pPr>
                                  <w:jc w:val="center"/>
                                  <w:textDirection w:val="btLr"/>
                                  <w:rPr>
                                    <w:sz w:val="20"/>
                                  </w:rPr>
                                </w:pPr>
                                <w:r w:rsidRPr="006F3E1C">
                                  <w:rPr>
                                    <w:szCs w:val="24"/>
                                    <w:lang w:val="en-US"/>
                                  </w:rPr>
                                  <w:t>Interest rate risk</w:t>
                                </w:r>
                                <w:r w:rsidRPr="006F3E1C">
                                  <w:rPr>
                                    <w:rFonts w:eastAsia="Arial"/>
                                    <w:color w:val="000000"/>
                                    <w:sz w:val="20"/>
                                  </w:rPr>
                                  <w:t xml:space="preserve"> </w:t>
                                </w:r>
                                <w:r w:rsidR="006F3E1C" w:rsidRPr="006F3E1C">
                                  <w:rPr>
                                    <w:rFonts w:eastAsia="Arial"/>
                                    <w:color w:val="000000"/>
                                    <w:sz w:val="20"/>
                                  </w:rPr>
                                  <w:t>(X1)</w:t>
                                </w:r>
                              </w:p>
                            </w:txbxContent>
                          </wps:txbx>
                          <wps:bodyPr spcFirstLastPara="1" wrap="square" lIns="91425" tIns="45700" rIns="91425" bIns="45700" anchor="ctr" anchorCtr="0">
                            <a:noAutofit/>
                          </wps:bodyPr>
                        </wps:wsp>
                        <wps:wsp>
                          <wps:cNvPr id="72" name="Straight Arrow Connector 72"/>
                          <wps:cNvCnPr/>
                          <wps:spPr>
                            <a:xfrm>
                              <a:off x="1740089" y="191069"/>
                              <a:ext cx="1367356" cy="812887"/>
                            </a:xfrm>
                            <a:prstGeom prst="straightConnector1">
                              <a:avLst/>
                            </a:prstGeom>
                            <a:noFill/>
                            <a:ln w="9525" cap="flat" cmpd="sng">
                              <a:solidFill>
                                <a:schemeClr val="dk1"/>
                              </a:solidFill>
                              <a:prstDash val="solid"/>
                              <a:round/>
                              <a:headEnd type="none" w="sm" len="sm"/>
                              <a:tailEnd type="triangle" w="med" len="med"/>
                            </a:ln>
                          </wps:spPr>
                          <wps:bodyPr/>
                        </wps:wsp>
                        <wps:wsp>
                          <wps:cNvPr id="73" name="Rounded Rectangle 73"/>
                          <wps:cNvSpPr/>
                          <wps:spPr>
                            <a:xfrm>
                              <a:off x="1787856" y="2388359"/>
                              <a:ext cx="1885639" cy="383226"/>
                            </a:xfrm>
                            <a:prstGeom prst="roundRect">
                              <a:avLst>
                                <a:gd name="adj" fmla="val 0"/>
                              </a:avLst>
                            </a:prstGeom>
                            <a:solidFill>
                              <a:schemeClr val="lt1"/>
                            </a:solidFill>
                            <a:ln w="25400" cap="flat" cmpd="sng">
                              <a:solidFill>
                                <a:schemeClr val="dk1"/>
                              </a:solidFill>
                              <a:prstDash val="solid"/>
                              <a:round/>
                              <a:headEnd type="none" w="sm" len="sm"/>
                              <a:tailEnd type="none" w="sm" len="sm"/>
                            </a:ln>
                          </wps:spPr>
                          <wps:txbx>
                            <w:txbxContent>
                              <w:p w14:paraId="61AC55D5" w14:textId="09F0FFE9" w:rsidR="006F3E1C" w:rsidRPr="006F3E1C" w:rsidRDefault="00D24D1C" w:rsidP="006F3E1C">
                                <w:pPr>
                                  <w:spacing w:line="275" w:lineRule="auto"/>
                                  <w:jc w:val="center"/>
                                  <w:textDirection w:val="btLr"/>
                                  <w:rPr>
                                    <w:sz w:val="20"/>
                                  </w:rPr>
                                </w:pPr>
                                <w:r>
                                  <w:rPr>
                                    <w:rFonts w:eastAsia="Arial"/>
                                    <w:b/>
                                    <w:color w:val="000000"/>
                                    <w:sz w:val="20"/>
                                  </w:rPr>
                                  <w:t>Company performance</w:t>
                                </w:r>
                                <w:r w:rsidR="006F3E1C" w:rsidRPr="006F3E1C">
                                  <w:rPr>
                                    <w:rFonts w:eastAsia="Arial"/>
                                    <w:b/>
                                    <w:color w:val="000000"/>
                                    <w:sz w:val="20"/>
                                  </w:rPr>
                                  <w:t xml:space="preserve"> (M)</w:t>
                                </w:r>
                              </w:p>
                            </w:txbxContent>
                          </wps:txbx>
                          <wps:bodyPr spcFirstLastPara="1" wrap="square" lIns="91425" tIns="45700" rIns="91425" bIns="45700" anchor="ctr" anchorCtr="0">
                            <a:noAutofit/>
                          </wps:bodyPr>
                        </wps:wsp>
                        <wps:wsp>
                          <wps:cNvPr id="74" name="Rounded Rectangle 74"/>
                          <wps:cNvSpPr/>
                          <wps:spPr>
                            <a:xfrm>
                              <a:off x="3104865" y="757451"/>
                              <a:ext cx="1730839" cy="483309"/>
                            </a:xfrm>
                            <a:prstGeom prst="roundRect">
                              <a:avLst>
                                <a:gd name="adj" fmla="val 0"/>
                              </a:avLst>
                            </a:prstGeom>
                            <a:solidFill>
                              <a:schemeClr val="lt1"/>
                            </a:solidFill>
                            <a:ln w="25400" cap="flat" cmpd="sng">
                              <a:solidFill>
                                <a:schemeClr val="dk1"/>
                              </a:solidFill>
                              <a:prstDash val="solid"/>
                              <a:round/>
                              <a:headEnd type="none" w="sm" len="sm"/>
                              <a:tailEnd type="none" w="sm" len="sm"/>
                            </a:ln>
                          </wps:spPr>
                          <wps:txbx>
                            <w:txbxContent>
                              <w:p w14:paraId="2B65BE92" w14:textId="28E4280E" w:rsidR="006F3E1C" w:rsidRPr="006F3E1C" w:rsidRDefault="00D24D1C" w:rsidP="006F3E1C">
                                <w:pPr>
                                  <w:spacing w:line="275" w:lineRule="auto"/>
                                  <w:jc w:val="center"/>
                                  <w:textDirection w:val="btLr"/>
                                  <w:rPr>
                                    <w:sz w:val="20"/>
                                  </w:rPr>
                                </w:pPr>
                                <w:r>
                                  <w:rPr>
                                    <w:rFonts w:eastAsia="Arial"/>
                                    <w:b/>
                                    <w:color w:val="000000"/>
                                    <w:sz w:val="20"/>
                                  </w:rPr>
                                  <w:t>Stock return</w:t>
                                </w:r>
                                <w:r w:rsidR="006F3E1C" w:rsidRPr="006F3E1C">
                                  <w:rPr>
                                    <w:rFonts w:eastAsia="Arial"/>
                                    <w:b/>
                                    <w:color w:val="000000"/>
                                    <w:sz w:val="20"/>
                                  </w:rPr>
                                  <w:t xml:space="preserve"> (Y)</w:t>
                                </w:r>
                              </w:p>
                            </w:txbxContent>
                          </wps:txbx>
                          <wps:bodyPr spcFirstLastPara="1" wrap="square" lIns="91425" tIns="45700" rIns="91425" bIns="45700" anchor="ctr" anchorCtr="0">
                            <a:noAutofit/>
                          </wps:bodyPr>
                        </wps:wsp>
                        <wps:wsp>
                          <wps:cNvPr id="75" name="Rounded Rectangle 75"/>
                          <wps:cNvSpPr/>
                          <wps:spPr>
                            <a:xfrm>
                              <a:off x="6823" y="784747"/>
                              <a:ext cx="1730839" cy="377563"/>
                            </a:xfrm>
                            <a:prstGeom prst="roundRect">
                              <a:avLst>
                                <a:gd name="adj" fmla="val 0"/>
                              </a:avLst>
                            </a:prstGeom>
                            <a:solidFill>
                              <a:schemeClr val="lt1"/>
                            </a:solidFill>
                            <a:ln w="25400" cap="flat" cmpd="sng">
                              <a:solidFill>
                                <a:schemeClr val="dk1"/>
                              </a:solidFill>
                              <a:prstDash val="solid"/>
                              <a:round/>
                              <a:headEnd type="none" w="sm" len="sm"/>
                              <a:tailEnd type="none" w="sm" len="sm"/>
                            </a:ln>
                          </wps:spPr>
                          <wps:txbx>
                            <w:txbxContent>
                              <w:p w14:paraId="794CB9FB" w14:textId="5DDFFCCD" w:rsidR="006F3E1C" w:rsidRPr="006F3E1C" w:rsidRDefault="00D24D1C" w:rsidP="006F3E1C">
                                <w:pPr>
                                  <w:jc w:val="center"/>
                                  <w:textDirection w:val="btLr"/>
                                  <w:rPr>
                                    <w:sz w:val="20"/>
                                  </w:rPr>
                                </w:pPr>
                                <w:r>
                                  <w:rPr>
                                    <w:rFonts w:eastAsia="Arial"/>
                                    <w:color w:val="000000"/>
                                    <w:sz w:val="20"/>
                                  </w:rPr>
                                  <w:t>Beta factor</w:t>
                                </w:r>
                                <w:r w:rsidR="006F3E1C" w:rsidRPr="006F3E1C">
                                  <w:rPr>
                                    <w:rFonts w:eastAsia="Arial"/>
                                    <w:color w:val="000000"/>
                                    <w:sz w:val="20"/>
                                  </w:rPr>
                                  <w:t xml:space="preserve"> (X2)</w:t>
                                </w:r>
                              </w:p>
                            </w:txbxContent>
                          </wps:txbx>
                          <wps:bodyPr spcFirstLastPara="1" wrap="square" lIns="91425" tIns="45700" rIns="91425" bIns="45700" anchor="ctr" anchorCtr="0">
                            <a:noAutofit/>
                          </wps:bodyPr>
                        </wps:wsp>
                        <wps:wsp>
                          <wps:cNvPr id="76" name="Rounded Rectangle 76"/>
                          <wps:cNvSpPr/>
                          <wps:spPr>
                            <a:xfrm>
                              <a:off x="0" y="1596788"/>
                              <a:ext cx="1730839" cy="377563"/>
                            </a:xfrm>
                            <a:prstGeom prst="roundRect">
                              <a:avLst>
                                <a:gd name="adj" fmla="val 0"/>
                              </a:avLst>
                            </a:prstGeom>
                            <a:solidFill>
                              <a:schemeClr val="lt1"/>
                            </a:solidFill>
                            <a:ln w="25400" cap="flat" cmpd="sng">
                              <a:solidFill>
                                <a:schemeClr val="dk1"/>
                              </a:solidFill>
                              <a:prstDash val="solid"/>
                              <a:round/>
                              <a:headEnd type="none" w="sm" len="sm"/>
                              <a:tailEnd type="none" w="sm" len="sm"/>
                            </a:ln>
                          </wps:spPr>
                          <wps:txbx>
                            <w:txbxContent>
                              <w:p w14:paraId="0F87D550" w14:textId="77777777" w:rsidR="006F3E1C" w:rsidRPr="006F3E1C" w:rsidRDefault="006F3E1C" w:rsidP="006F3E1C">
                                <w:pPr>
                                  <w:jc w:val="center"/>
                                  <w:textDirection w:val="btLr"/>
                                  <w:rPr>
                                    <w:sz w:val="20"/>
                                  </w:rPr>
                                </w:pPr>
                                <w:r w:rsidRPr="006F3E1C">
                                  <w:rPr>
                                    <w:rFonts w:eastAsia="Arial"/>
                                    <w:color w:val="000000"/>
                                    <w:sz w:val="20"/>
                                  </w:rPr>
                                  <w:t xml:space="preserve"> </w:t>
                                </w:r>
                                <w:r w:rsidRPr="006F3E1C">
                                  <w:rPr>
                                    <w:rFonts w:eastAsia="Arial"/>
                                    <w:i/>
                                    <w:color w:val="000000"/>
                                    <w:sz w:val="20"/>
                                  </w:rPr>
                                  <w:t>Financial Distress</w:t>
                                </w:r>
                                <w:r w:rsidRPr="006F3E1C">
                                  <w:rPr>
                                    <w:rFonts w:eastAsia="Arial"/>
                                    <w:color w:val="000000"/>
                                    <w:sz w:val="20"/>
                                  </w:rPr>
                                  <w:t xml:space="preserve"> (X3)</w:t>
                                </w:r>
                              </w:p>
                            </w:txbxContent>
                          </wps:txbx>
                          <wps:bodyPr spcFirstLastPara="1" wrap="square" lIns="91425" tIns="45700" rIns="91425" bIns="45700" anchor="ctr" anchorCtr="0">
                            <a:noAutofit/>
                          </wps:bodyPr>
                        </wps:wsp>
                        <wps:wsp>
                          <wps:cNvPr id="77" name="Straight Arrow Connector 77"/>
                          <wps:cNvCnPr/>
                          <wps:spPr>
                            <a:xfrm>
                              <a:off x="1740089" y="975815"/>
                              <a:ext cx="1367353" cy="29445"/>
                            </a:xfrm>
                            <a:prstGeom prst="straightConnector1">
                              <a:avLst/>
                            </a:prstGeom>
                            <a:noFill/>
                            <a:ln w="9525" cap="flat" cmpd="sng">
                              <a:solidFill>
                                <a:schemeClr val="dk1"/>
                              </a:solidFill>
                              <a:prstDash val="solid"/>
                              <a:round/>
                              <a:headEnd type="none" w="sm" len="sm"/>
                              <a:tailEnd type="triangle" w="med" len="med"/>
                            </a:ln>
                          </wps:spPr>
                          <wps:bodyPr/>
                        </wps:wsp>
                        <wps:wsp>
                          <wps:cNvPr id="78" name="Straight Arrow Connector 78"/>
                          <wps:cNvCnPr/>
                          <wps:spPr>
                            <a:xfrm rot="10800000" flipH="1">
                              <a:off x="1733265" y="1003111"/>
                              <a:ext cx="1376828" cy="782315"/>
                            </a:xfrm>
                            <a:prstGeom prst="straightConnector1">
                              <a:avLst/>
                            </a:prstGeom>
                            <a:noFill/>
                            <a:ln w="9525" cap="flat" cmpd="sng">
                              <a:solidFill>
                                <a:schemeClr val="dk1"/>
                              </a:solidFill>
                              <a:prstDash val="solid"/>
                              <a:round/>
                              <a:headEnd type="none" w="sm" len="sm"/>
                              <a:tailEnd type="triangle" w="med" len="med"/>
                            </a:ln>
                          </wps:spPr>
                          <wps:bodyPr/>
                        </wps:wsp>
                        <wps:wsp>
                          <wps:cNvPr id="79" name="Straight Arrow Connector 79"/>
                          <wps:cNvCnPr/>
                          <wps:spPr>
                            <a:xfrm rot="10800000">
                              <a:off x="2558955" y="689212"/>
                              <a:ext cx="174932" cy="1699032"/>
                            </a:xfrm>
                            <a:prstGeom prst="straightConnector1">
                              <a:avLst/>
                            </a:prstGeom>
                            <a:noFill/>
                            <a:ln w="9525" cap="flat" cmpd="sng">
                              <a:solidFill>
                                <a:schemeClr val="dk1"/>
                              </a:solidFill>
                              <a:prstDash val="solid"/>
                              <a:round/>
                              <a:headEnd type="none" w="sm" len="sm"/>
                              <a:tailEnd type="triangle" w="med" len="med"/>
                            </a:ln>
                          </wps:spPr>
                          <wps:bodyPr/>
                        </wps:wsp>
                        <wps:wsp>
                          <wps:cNvPr id="80" name="Straight Arrow Connector 80"/>
                          <wps:cNvCnPr/>
                          <wps:spPr>
                            <a:xfrm rot="10800000">
                              <a:off x="2245056" y="1023582"/>
                              <a:ext cx="487620" cy="1368665"/>
                            </a:xfrm>
                            <a:prstGeom prst="straightConnector1">
                              <a:avLst/>
                            </a:prstGeom>
                            <a:noFill/>
                            <a:ln w="9525" cap="flat" cmpd="sng">
                              <a:solidFill>
                                <a:schemeClr val="dk1"/>
                              </a:solidFill>
                              <a:prstDash val="solid"/>
                              <a:round/>
                              <a:headEnd type="none" w="sm" len="sm"/>
                              <a:tailEnd type="triangle" w="med" len="med"/>
                            </a:ln>
                          </wps:spPr>
                          <wps:bodyPr/>
                        </wps:wsp>
                        <wps:wsp>
                          <wps:cNvPr id="81" name="Straight Arrow Connector 81"/>
                          <wps:cNvCnPr/>
                          <wps:spPr>
                            <a:xfrm rot="10800000">
                              <a:off x="2163170" y="1549021"/>
                              <a:ext cx="573105" cy="844127"/>
                            </a:xfrm>
                            <a:prstGeom prst="straightConnector1">
                              <a:avLst/>
                            </a:prstGeom>
                            <a:noFill/>
                            <a:ln w="9525" cap="flat" cmpd="sng">
                              <a:solidFill>
                                <a:schemeClr val="dk1"/>
                              </a:solidFill>
                              <a:prstDash val="solid"/>
                              <a:round/>
                              <a:headEnd type="none" w="sm" len="sm"/>
                              <a:tailEnd type="triangle" w="med" len="med"/>
                            </a:ln>
                          </wps:spPr>
                          <wps:bodyPr/>
                        </wps:wsp>
                      </wpg:grpSp>
                    </wpg:wgp>
                  </a:graphicData>
                </a:graphic>
              </wp:inline>
            </w:drawing>
          </mc:Choice>
          <mc:Fallback>
            <w:pict>
              <v:group w14:anchorId="38092082" id="Group 68" o:spid="_x0000_s1026" style="width:380.75pt;height:218.2pt;mso-position-horizontal-relative:char;mso-position-vertical-relative:line" coordorigin="29155,23817" coordsize="48610,2796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">
                <v:group id="Group 69" o:spid="_x0000_s1027" style="position:absolute;left:29282;top:23944;width:48355;height:27711" coordsize="48357,27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">
                  <v:rect id="Rectangle 70" o:spid="_x0000_s1028" style="position:absolute;width:48357;height:2771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" filled="f" stroked="f">
                    <v:textbox inset="2.53958mm,2.53958mm,2.53958mm,2.53958mm">
                      <w:txbxContent>
                        <w:p w14:paraId="1CCB157F" w14:textId="77777777" w:rsidR="006F3E1C" w:rsidRDefault="006F3E1C" w:rsidP="006F3E1C">
                          <w:pPr>
                            <w:textDirection w:val="btLr"/>
                          </w:pPr>
                        </w:p>
                      </w:txbxContent>
                    </v:textbox>
                  </v:rect>
                  <v:roundrect id="Rounded Rectangle 71" o:spid="_x0000_s1029" style="position:absolute;left:68;width:17308;height:3775;visibility:visible;mso-wrap-style:square;v-text-anchor:middle" arcsize="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" fillcolor="white [3201]" strokecolor="black [3200]" strokeweight="2pt">
                    <v:stroke startarrowwidth="narrow" startarrowlength="short" endarrowwidth="narrow" endarrowlength="short"/>
                    <v:textbox inset="2.53958mm,1.2694mm,2.53958mm,1.2694mm">
                      <w:txbxContent>
                        <w:p w14:paraId="3604653B" w14:textId="3E9B48F2" w:rsidR="006F3E1C" w:rsidRPr="006F3E1C" w:rsidRDefault="00D24D1C" w:rsidP="006F3E1C">
                          <w:pPr>
                            <w:jc w:val="center"/>
                            <w:textDirection w:val="btLr"/>
                            <w:rPr>
                              <w:sz w:val="20"/>
                            </w:rPr>
                          </w:pPr>
                          <w:r w:rsidRPr="006F3E1C">
                            <w:rPr>
                              <w:szCs w:val="24"/>
                              <w:lang w:val="en-US"/>
                            </w:rPr>
                            <w:t>Interest rate risk</w:t>
                          </w:r>
                          <w:r w:rsidRPr="006F3E1C">
                            <w:rPr>
                              <w:rFonts w:eastAsia="Arial"/>
                              <w:color w:val="000000"/>
                              <w:sz w:val="20"/>
                            </w:rPr>
                            <w:t xml:space="preserve"> </w:t>
                          </w:r>
                          <w:r w:rsidR="006F3E1C" w:rsidRPr="006F3E1C">
                            <w:rPr>
                              <w:rFonts w:eastAsia="Arial"/>
                              <w:color w:val="000000"/>
                              <w:sz w:val="20"/>
                            </w:rPr>
                            <w:t>(X1)</w:t>
                          </w:r>
                        </w:p>
                      </w:txbxContent>
                    </v:textbox>
                  </v:roundrect>
                  <v:shapetype id="_x0000_t32" coordsize="21600,21600" o:spt="32" o:oned="t" path="m,l21600,21600e" filled="f">
                    <v:path arrowok="t" fillok="f" o:connecttype="none"/>
                    <o:lock v:ext="edit" shapetype="t"/>
                  </v:shapetype>
                  <v:shape id="Straight Arrow Connector 72" o:spid="_x0000_s1030" type="#_x0000_t32" style="position:absolute;left:17400;top:1910;width:13674;height:8129;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" strokecolor="black [3200]">
                    <v:stroke startarrowwidth="narrow" startarrowlength="short" endarrow="block"/>
                  </v:shape>
                  <v:roundrect id="Rounded Rectangle 73" o:spid="_x0000_s1031" style="position:absolute;left:17878;top:23883;width:18856;height:3832;visibility:visible;mso-wrap-style:square;v-text-anchor:middle" arcsize="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" fillcolor="white [3201]" strokecolor="black [3200]" strokeweight="2pt">
                    <v:stroke startarrowwidth="narrow" startarrowlength="short" endarrowwidth="narrow" endarrowlength="short"/>
                    <v:textbox inset="2.53958mm,1.2694mm,2.53958mm,1.2694mm">
                      <w:txbxContent>
                        <w:p w14:paraId="61AC55D5" w14:textId="09F0FFE9" w:rsidR="006F3E1C" w:rsidRPr="006F3E1C" w:rsidRDefault="00D24D1C" w:rsidP="006F3E1C">
                          <w:pPr>
                            <w:spacing w:line="275" w:lineRule="auto"/>
                            <w:jc w:val="center"/>
                            <w:textDirection w:val="btLr"/>
                            <w:rPr>
                              <w:sz w:val="20"/>
                            </w:rPr>
                          </w:pPr>
                          <w:r>
                            <w:rPr>
                              <w:rFonts w:eastAsia="Arial"/>
                              <w:b/>
                              <w:color w:val="000000"/>
                              <w:sz w:val="20"/>
                            </w:rPr>
                            <w:t>Company performance</w:t>
                          </w:r>
                          <w:r w:rsidR="006F3E1C" w:rsidRPr="006F3E1C">
                            <w:rPr>
                              <w:rFonts w:eastAsia="Arial"/>
                              <w:b/>
                              <w:color w:val="000000"/>
                              <w:sz w:val="20"/>
                            </w:rPr>
                            <w:t xml:space="preserve"> (M)</w:t>
                          </w:r>
                        </w:p>
                      </w:txbxContent>
                    </v:textbox>
                  </v:roundrect>
                  <v:roundrect id="Rounded Rectangle 74" o:spid="_x0000_s1032" style="position:absolute;left:31048;top:7574;width:17309;height:4833;visibility:visible;mso-wrap-style:square;v-text-anchor:middle" arcsize="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" fillcolor="white [3201]" strokecolor="black [3200]" strokeweight="2pt">
                    <v:stroke startarrowwidth="narrow" startarrowlength="short" endarrowwidth="narrow" endarrowlength="short"/>
                    <v:textbox inset="2.53958mm,1.2694mm,2.53958mm,1.2694mm">
                      <w:txbxContent>
                        <w:p w14:paraId="2B65BE92" w14:textId="28E4280E" w:rsidR="006F3E1C" w:rsidRPr="006F3E1C" w:rsidRDefault="00D24D1C" w:rsidP="006F3E1C">
                          <w:pPr>
                            <w:spacing w:line="275" w:lineRule="auto"/>
                            <w:jc w:val="center"/>
                            <w:textDirection w:val="btLr"/>
                            <w:rPr>
                              <w:sz w:val="20"/>
                            </w:rPr>
                          </w:pPr>
                          <w:r>
                            <w:rPr>
                              <w:rFonts w:eastAsia="Arial"/>
                              <w:b/>
                              <w:color w:val="000000"/>
                              <w:sz w:val="20"/>
                            </w:rPr>
                            <w:t>Stock return</w:t>
                          </w:r>
                          <w:r w:rsidR="006F3E1C" w:rsidRPr="006F3E1C">
                            <w:rPr>
                              <w:rFonts w:eastAsia="Arial"/>
                              <w:b/>
                              <w:color w:val="000000"/>
                              <w:sz w:val="20"/>
                            </w:rPr>
                            <w:t xml:space="preserve"> (Y)</w:t>
                          </w:r>
                        </w:p>
                      </w:txbxContent>
                    </v:textbox>
                  </v:roundrect>
                  <v:roundrect id="Rounded Rectangle 75" o:spid="_x0000_s1033" style="position:absolute;left:68;top:7847;width:17308;height:3776;visibility:visible;mso-wrap-style:square;v-text-anchor:middle" arcsize="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" fillcolor="white [3201]" strokecolor="black [3200]" strokeweight="2pt">
                    <v:stroke startarrowwidth="narrow" startarrowlength="short" endarrowwidth="narrow" endarrowlength="short"/>
                    <v:textbox inset="2.53958mm,1.2694mm,2.53958mm,1.2694mm">
                      <w:txbxContent>
                        <w:p w14:paraId="794CB9FB" w14:textId="5DDFFCCD" w:rsidR="006F3E1C" w:rsidRPr="006F3E1C" w:rsidRDefault="00D24D1C" w:rsidP="006F3E1C">
                          <w:pPr>
                            <w:jc w:val="center"/>
                            <w:textDirection w:val="btLr"/>
                            <w:rPr>
                              <w:sz w:val="20"/>
                            </w:rPr>
                          </w:pPr>
                          <w:r>
                            <w:rPr>
                              <w:rFonts w:eastAsia="Arial"/>
                              <w:color w:val="000000"/>
                              <w:sz w:val="20"/>
                            </w:rPr>
                            <w:t>Beta factor</w:t>
                          </w:r>
                          <w:r w:rsidR="006F3E1C" w:rsidRPr="006F3E1C">
                            <w:rPr>
                              <w:rFonts w:eastAsia="Arial"/>
                              <w:color w:val="000000"/>
                              <w:sz w:val="20"/>
                            </w:rPr>
                            <w:t xml:space="preserve"> (X2)</w:t>
                          </w:r>
                        </w:p>
                      </w:txbxContent>
                    </v:textbox>
                  </v:roundrect>
                  <v:roundrect id="Rounded Rectangle 76" o:spid="_x0000_s1034" style="position:absolute;top:15967;width:17308;height:3776;visibility:visible;mso-wrap-style:square;v-text-anchor:middle" arcsize="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" fillcolor="white [3201]" strokecolor="black [3200]" strokeweight="2pt">
                    <v:stroke startarrowwidth="narrow" startarrowlength="short" endarrowwidth="narrow" endarrowlength="short"/>
                    <v:textbox inset="2.53958mm,1.2694mm,2.53958mm,1.2694mm">
                      <w:txbxContent>
                        <w:p w14:paraId="0F87D550" w14:textId="77777777" w:rsidR="006F3E1C" w:rsidRPr="006F3E1C" w:rsidRDefault="006F3E1C" w:rsidP="006F3E1C">
                          <w:pPr>
                            <w:jc w:val="center"/>
                            <w:textDirection w:val="btLr"/>
                            <w:rPr>
                              <w:sz w:val="20"/>
                            </w:rPr>
                          </w:pPr>
                          <w:r w:rsidRPr="006F3E1C">
                            <w:rPr>
                              <w:rFonts w:eastAsia="Arial"/>
                              <w:color w:val="000000"/>
                              <w:sz w:val="20"/>
                            </w:rPr>
                            <w:t xml:space="preserve"> </w:t>
                          </w:r>
                          <w:r w:rsidRPr="006F3E1C">
                            <w:rPr>
                              <w:rFonts w:eastAsia="Arial"/>
                              <w:i/>
                              <w:color w:val="000000"/>
                              <w:sz w:val="20"/>
                            </w:rPr>
                            <w:t>Financial Distress</w:t>
                          </w:r>
                          <w:r w:rsidRPr="006F3E1C">
                            <w:rPr>
                              <w:rFonts w:eastAsia="Arial"/>
                              <w:color w:val="000000"/>
                              <w:sz w:val="20"/>
                            </w:rPr>
                            <w:t xml:space="preserve"> (X3)</w:t>
                          </w:r>
                        </w:p>
                      </w:txbxContent>
                    </v:textbox>
                  </v:roundrect>
                  <v:shape id="Straight Arrow Connector 77" o:spid="_x0000_s1035" type="#_x0000_t32" style="position:absolute;left:17400;top:9758;width:13674;height:29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" strokecolor="black [3200]">
                    <v:stroke startarrowwidth="narrow" startarrowlength="short" endarrow="block"/>
                  </v:shape>
                  <v:shape id="Straight Arrow Connector 78" o:spid="_x0000_s1036" type="#_x0000_t32" style="position:absolute;left:17332;top:10031;width:13768;height:7823;rotation:18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" strokecolor="black [3200]">
                    <v:stroke startarrowwidth="narrow" startarrowlength="short" endarrow="block"/>
                  </v:shape>
                  <v:shape id="Straight Arrow Connector 79" o:spid="_x0000_s1037" type="#_x0000_t32" style="position:absolute;left:25589;top:6892;width:1749;height:16990;rotation:18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" strokecolor="black [3200]">
                    <v:stroke startarrowwidth="narrow" startarrowlength="short" endarrow="block"/>
                  </v:shape>
                  <v:shape id="Straight Arrow Connector 80" o:spid="_x0000_s1038" type="#_x0000_t32" style="position:absolute;left:22450;top:10235;width:4876;height:13687;rotation:18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" strokecolor="black [3200]">
                    <v:stroke startarrowwidth="narrow" startarrowlength="short" endarrow="block"/>
                  </v:shape>
                  <v:shape id="Straight Arrow Connector 81" o:spid="_x0000_s1039" type="#_x0000_t32" style="position:absolute;left:21631;top:15490;width:5731;height:8441;rotation:18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" strokecolor="black [3200]">
                    <v:stroke startarrowwidth="narrow" startarrowlength="short" endarrow="block"/>
                  </v:shape>
                </v:group>
                <w10:anchorlock/>
              </v:group>
            </w:pict>
          </mc:Fallback>
        </mc:AlternateContent>
      </w:r>
    </w:p>
    <w:p w14:paraId="4E1249FA" w14:textId="77777777" w:rsidR="006F3E1C" w:rsidRPr="006F3E1C" w:rsidRDefault="006F3E1C" w:rsidP="006F3E1C">
      <w:pPr>
        <w:ind w:left="360" w:hanging="360"/>
        <w:jc w:val="center"/>
        <w:rPr>
          <w:szCs w:val="24"/>
          <w:lang w:val="en-US"/>
        </w:rPr>
      </w:pPr>
      <w:r w:rsidRPr="006F3E1C">
        <w:rPr>
          <w:szCs w:val="24"/>
          <w:lang w:val="en-US"/>
        </w:rPr>
        <w:t>Figure 1. Research framework</w:t>
      </w:r>
    </w:p>
    <w:p w14:paraId="2EACD8E2" w14:textId="77777777" w:rsidR="006F3E1C" w:rsidRPr="006F3E1C" w:rsidRDefault="006F3E1C" w:rsidP="006F3E1C">
      <w:pPr>
        <w:ind w:firstLine="720"/>
        <w:jc w:val="center"/>
        <w:rPr>
          <w:szCs w:val="24"/>
          <w:lang w:val="en-MY"/>
        </w:rPr>
      </w:pPr>
    </w:p>
    <w:p w14:paraId="638A7874" w14:textId="1C9F0B00" w:rsidR="00A875FB" w:rsidRPr="006F3E1C" w:rsidRDefault="009A3958" w:rsidP="00D35C05">
      <w:pPr>
        <w:ind w:firstLine="720"/>
        <w:jc w:val="both"/>
        <w:rPr>
          <w:szCs w:val="24"/>
        </w:rPr>
      </w:pPr>
      <w:r w:rsidRPr="006F3E1C">
        <w:rPr>
          <w:szCs w:val="24"/>
        </w:rPr>
        <w:t>.</w:t>
      </w:r>
    </w:p>
    <w:p w14:paraId="5EB6534A" w14:textId="77777777" w:rsidR="00A875FB" w:rsidRPr="006F3E1C" w:rsidRDefault="00A875FB" w:rsidP="00D35C05">
      <w:pPr>
        <w:ind w:firstLine="720"/>
        <w:jc w:val="both"/>
        <w:rPr>
          <w:szCs w:val="24"/>
        </w:rPr>
      </w:pPr>
    </w:p>
    <w:p w14:paraId="00000015" w14:textId="77777777" w:rsidR="002C3D2B" w:rsidRPr="006F3E1C" w:rsidRDefault="00EF6A6E">
      <w:pPr>
        <w:pStyle w:val="Judul1"/>
        <w:numPr>
          <w:ilvl w:val="0"/>
          <w:numId w:val="1"/>
        </w:numPr>
        <w:spacing w:after="60"/>
        <w:ind w:left="360"/>
        <w:rPr>
          <w:i w:val="0"/>
          <w:sz w:val="24"/>
          <w:szCs w:val="24"/>
        </w:rPr>
      </w:pPr>
      <w:r w:rsidRPr="006F3E1C">
        <w:rPr>
          <w:i w:val="0"/>
          <w:sz w:val="24"/>
          <w:szCs w:val="24"/>
        </w:rPr>
        <w:t>Research Methods</w:t>
      </w:r>
    </w:p>
    <w:p w14:paraId="51D53826" w14:textId="77777777" w:rsidR="006F3E1C" w:rsidRPr="006F3E1C" w:rsidRDefault="006F3E1C" w:rsidP="006F3E1C">
      <w:pPr>
        <w:ind w:firstLine="720"/>
        <w:jc w:val="both"/>
        <w:rPr>
          <w:szCs w:val="24"/>
          <w:lang w:val="en-US"/>
        </w:rPr>
      </w:pPr>
      <w:r w:rsidRPr="006F3E1C">
        <w:rPr>
          <w:szCs w:val="24"/>
          <w:lang w:val="en-US"/>
        </w:rPr>
        <w:t>This research uses a quantitative approach with an associative method. The quantitative approach is based on the philosophy of positivism, where researchers collect data using research instruments and analyze it statistically to test predetermined hypotheses. The association method is used to analyze the relationship between two or more variables, in this case the relationship between financial risk and company performance and stock returns.</w:t>
      </w:r>
    </w:p>
    <w:p w14:paraId="7BD7F074" w14:textId="77777777" w:rsidR="006F3E1C" w:rsidRPr="006F3E1C" w:rsidRDefault="006F3E1C" w:rsidP="006F3E1C">
      <w:pPr>
        <w:ind w:firstLine="720"/>
        <w:jc w:val="both"/>
        <w:rPr>
          <w:szCs w:val="24"/>
          <w:lang w:val="en-US"/>
        </w:rPr>
      </w:pPr>
      <w:r w:rsidRPr="006F3E1C">
        <w:rPr>
          <w:szCs w:val="24"/>
          <w:lang w:val="en-US"/>
        </w:rPr>
        <w:t>The research was conducted on the Indonesian Stock Exchange (BEI) with data taken from the official BEI website (http://www.idx.co.id/). This location selection is based on the completeness and reliability of the required data. Data is downloaded according to research needs during the 2019-2023 period. The research population is 45 LQ45 indexed companies listed on the IDX in 2019-2023. The sample used in this research is a saturated sample, which means that all population units that meet the inclusion criteria have been included in this research. A saturated sample approach was chosen to ensure a comprehensive representation of the population studied, in this case the LQ45 indexed companies listed on the Indonesia Stock Exchange for the 2019-2023 period.</w:t>
      </w:r>
    </w:p>
    <w:p w14:paraId="26308C80" w14:textId="3357216E" w:rsidR="006F3E1C" w:rsidRPr="006F3E1C" w:rsidRDefault="006F3E1C" w:rsidP="006F3E1C">
      <w:pPr>
        <w:ind w:firstLine="720"/>
        <w:jc w:val="both"/>
        <w:rPr>
          <w:szCs w:val="24"/>
          <w:lang w:val="en-US"/>
        </w:rPr>
      </w:pPr>
      <w:r w:rsidRPr="006F3E1C">
        <w:rPr>
          <w:szCs w:val="24"/>
          <w:lang w:val="en-US"/>
        </w:rPr>
        <w:t xml:space="preserve">The data used is secondary data in the form of financial reports taken from the official BEI website. The type of data used is quantitative data, which includes beta factors and interest rate risk as financial risk, Return on Assets (ROA), and stock returns. The data collection method used is documentation. The independent variables in this research include interest rate risk as measured by the sensitivity of the BI interest rate to closing stock prices </w:t>
      </w:r>
      <w:r w:rsidRPr="006F3E1C">
        <w:rPr>
          <w:szCs w:val="24"/>
          <w:lang w:val="en-US"/>
        </w:rPr>
        <w:fldChar w:fldCharType="begin" w:fldLock="1"/>
      </w:r>
      <w:r w:rsidR="00D24D1C">
        <w:rPr>
          <w:szCs w:val="24"/>
          <w:lang w:val="en-US"/>
        </w:rPr>
        <w:instrText>ADDIN CSL_CITATION {"citationItems":[{"id":"ITEM-1","itemData":{"abstract":"Banks face various risks that can become barriers to increasing profitability. There are two factors that affect the profitability of a bank, namely internal and external factors. Internal factors are measured using financial ratios by analyzing the financial statements presented by the bank and one way is by examining the Net Interest Margin (NIM). Meanwhile, external factors are factors outside the company originating from macroeconomics, including the risk of Bank Indonesia interest rates. Banking was chosen in this study because banking activities are very influential for the smooth running of the real sector economy. This research is devoted to its profitability because profitability is an important factor in banking development. This study aims to determine the effect of BI interest rate risk, Net Interest Margin (NIM) partially and simultaneously on profitability as indicated by the ROA (Return to Assets) ratio using the classical assumption test and multiple regression test of conventional banks listed on the Indonesia Stock Exchange. 2012-2019 period. This type of research is a descriptive study with secondary data derived from registered financial statements of conventional banks and obtained directly from the website at the Financial Services Authority. This study uses data from 2012-2019 with a sample size of 4 conventional banks from a total population of 45 conventional banks. The results of this study indicate that; 1) BI interest rate risk does not partially affect profitability; 2) Partially Net Interest Margin has a negative effect on profitability; and 3) BI interest rate risk and Net Interest Margin have a positive effect on profitability.","author":[{"dropping-particle":"","family":"Az-Zahra","given":"Rinka","non-dropping-particle":"","parse-names":false,"suffix":""},{"dropping-particle":"","family":"Pardistya","given":"Irvan Yoga","non-dropping-particle":"","parse-names":false,"suffix":""}],"container-title":"Jurnal Mirai Manajemen","id":"ITEM-1","issue":"1","issued":{"date-parts":[["2022"]]},"page":"133-142","title":"Analisis Pengaruh Risiko Suku Bunga Bank Indonesia dan Net Interest Margin terhadap Profitabilitas Bank Konvensional di Indonesia","type":"article-journal","volume":"7"},"uris":["http://www.mendeley.com/documents/?uuid=20017861-b0ee-431c-bd9b-e2ae66e2d84e"]}],"mendeley":{"formattedCitation":"(Az-Zahra &amp; Pardistya, 2022)"},"properties":{"noteIndex":0},"schema":"https://github.com/citation-style-language/schema/raw/master/csl-citation.json"}</w:instrText>
      </w:r>
      <w:r w:rsidRPr="006F3E1C">
        <w:rPr>
          <w:szCs w:val="24"/>
          <w:lang w:val="en-US"/>
        </w:rPr>
        <w:fldChar w:fldCharType="separate"/>
      </w:r>
      <w:r w:rsidR="00D24D1C" w:rsidRPr="00D24D1C">
        <w:rPr>
          <w:noProof/>
          <w:szCs w:val="24"/>
          <w:lang w:val="en-US"/>
        </w:rPr>
        <w:t>(Az-Zahra &amp; Pardistya, 2022)</w:t>
      </w:r>
      <w:r w:rsidRPr="006F3E1C">
        <w:rPr>
          <w:szCs w:val="24"/>
          <w:lang w:val="en-US"/>
        </w:rPr>
        <w:fldChar w:fldCharType="end"/>
      </w:r>
      <w:r w:rsidRPr="006F3E1C">
        <w:rPr>
          <w:szCs w:val="24"/>
          <w:lang w:val="en-US"/>
        </w:rPr>
        <w:t>, beta factor as a measure of systematic risk, and financial distress as measured by the Altman Z-Score. The dependent variable is stock return, measured by the percentage change in investment value in shares. Data analysis was carried out using multiple linear regression and moderated regression techniques, with the SPSS version 25.0 program for data processing.</w:t>
      </w:r>
    </w:p>
    <w:p w14:paraId="23AAD724" w14:textId="1CAEA9C3" w:rsidR="006F3E1C" w:rsidRPr="006F3E1C" w:rsidRDefault="006F3E1C" w:rsidP="006F3E1C">
      <w:pPr>
        <w:ind w:firstLine="360"/>
        <w:jc w:val="both"/>
        <w:rPr>
          <w:szCs w:val="24"/>
          <w:lang w:val="en-US"/>
        </w:rPr>
      </w:pPr>
      <w:r w:rsidRPr="006F3E1C">
        <w:rPr>
          <w:szCs w:val="24"/>
          <w:lang w:val="en-US"/>
        </w:rPr>
        <w:lastRenderedPageBreak/>
        <w:t>Data analysis uses descriptive and inferential statistics. Descriptive statistics are used to describe data with measures such as mean, maximum, minimum, and standard deviation. Inferential statistics were carried out using multiple linear regression and moderation regression to test the relationship between independent and dependent variables. Classic assumption tests include normality tests, autocorrelation tests, multicollinearity tests, and heteroscedasticity tests to ensure that the regression model meets the specified criteria. The coefficient of determination and t test are used to test the significance of the influence of the independent variable on the dependent variable.</w:t>
      </w:r>
    </w:p>
    <w:p w14:paraId="73B36578" w14:textId="77777777" w:rsidR="006F3E1C" w:rsidRPr="006F3E1C" w:rsidRDefault="006F3E1C" w:rsidP="006F3E1C">
      <w:pPr>
        <w:ind w:firstLine="360"/>
        <w:jc w:val="both"/>
        <w:rPr>
          <w:szCs w:val="24"/>
        </w:rPr>
      </w:pPr>
    </w:p>
    <w:p w14:paraId="00000017" w14:textId="77777777" w:rsidR="002C3D2B" w:rsidRPr="006F3E1C" w:rsidRDefault="00EF6A6E">
      <w:pPr>
        <w:pStyle w:val="Judul1"/>
        <w:numPr>
          <w:ilvl w:val="0"/>
          <w:numId w:val="1"/>
        </w:numPr>
        <w:spacing w:after="60"/>
        <w:ind w:left="360"/>
        <w:rPr>
          <w:i w:val="0"/>
          <w:sz w:val="24"/>
          <w:szCs w:val="24"/>
        </w:rPr>
      </w:pPr>
      <w:r w:rsidRPr="006F3E1C">
        <w:rPr>
          <w:i w:val="0"/>
          <w:sz w:val="24"/>
          <w:szCs w:val="24"/>
        </w:rPr>
        <w:t>Results and Discussion</w:t>
      </w:r>
    </w:p>
    <w:p w14:paraId="00000018" w14:textId="77777777" w:rsidR="002C3D2B" w:rsidRPr="006F3E1C" w:rsidRDefault="00EF6A6E">
      <w:pPr>
        <w:pStyle w:val="Judul1"/>
        <w:numPr>
          <w:ilvl w:val="1"/>
          <w:numId w:val="2"/>
        </w:numPr>
        <w:spacing w:after="60"/>
        <w:rPr>
          <w:b w:val="0"/>
          <w:i w:val="0"/>
          <w:sz w:val="24"/>
          <w:szCs w:val="24"/>
        </w:rPr>
      </w:pPr>
      <w:r w:rsidRPr="006F3E1C">
        <w:rPr>
          <w:i w:val="0"/>
          <w:sz w:val="24"/>
          <w:szCs w:val="24"/>
        </w:rPr>
        <w:t>Results</w:t>
      </w:r>
    </w:p>
    <w:p w14:paraId="5C79C089" w14:textId="77777777" w:rsidR="006F3E1C" w:rsidRPr="006F3E1C" w:rsidRDefault="006F3E1C" w:rsidP="006F3E1C">
      <w:pPr>
        <w:jc w:val="both"/>
        <w:rPr>
          <w:b/>
          <w:szCs w:val="24"/>
          <w:lang w:val="en-US"/>
        </w:rPr>
      </w:pPr>
      <w:r w:rsidRPr="006F3E1C">
        <w:rPr>
          <w:b/>
          <w:szCs w:val="24"/>
          <w:lang w:val="en-US"/>
        </w:rPr>
        <w:t>Description of Research Variables</w:t>
      </w:r>
    </w:p>
    <w:p w14:paraId="45DC213C" w14:textId="77777777" w:rsidR="006F3E1C" w:rsidRPr="006F3E1C" w:rsidRDefault="006F3E1C" w:rsidP="006F3E1C">
      <w:pPr>
        <w:jc w:val="both"/>
        <w:rPr>
          <w:szCs w:val="24"/>
          <w:lang w:val="en-US"/>
        </w:rPr>
      </w:pPr>
      <w:r w:rsidRPr="006F3E1C">
        <w:rPr>
          <w:szCs w:val="24"/>
          <w:lang w:val="en-US"/>
        </w:rPr>
        <w:t>Table 1. Description of research variables</w:t>
      </w:r>
    </w:p>
    <w:tbl>
      <w:tblPr>
        <w:tblW w:w="7056" w:type="dxa"/>
        <w:tblLook w:val="04A0" w:firstRow="1" w:lastRow="0" w:firstColumn="1" w:lastColumn="0" w:noHBand="0" w:noVBand="1"/>
      </w:tblPr>
      <w:tblGrid>
        <w:gridCol w:w="2610"/>
        <w:gridCol w:w="1243"/>
        <w:gridCol w:w="1283"/>
        <w:gridCol w:w="960"/>
        <w:gridCol w:w="960"/>
      </w:tblGrid>
      <w:tr w:rsidR="006F3E1C" w:rsidRPr="006F3E1C" w14:paraId="38454FB5" w14:textId="77777777" w:rsidTr="00D24D1C">
        <w:trPr>
          <w:trHeight w:val="510"/>
        </w:trPr>
        <w:tc>
          <w:tcPr>
            <w:tcW w:w="2610" w:type="dxa"/>
            <w:tcBorders>
              <w:top w:val="single" w:sz="4" w:space="0" w:color="auto"/>
              <w:left w:val="nil"/>
              <w:bottom w:val="single" w:sz="4" w:space="0" w:color="auto"/>
              <w:right w:val="nil"/>
            </w:tcBorders>
            <w:shd w:val="clear" w:color="auto" w:fill="auto"/>
            <w:vAlign w:val="center"/>
            <w:hideMark/>
          </w:tcPr>
          <w:p w14:paraId="28F3CFFE" w14:textId="77777777" w:rsidR="006F3E1C" w:rsidRPr="006F3E1C" w:rsidRDefault="006F3E1C" w:rsidP="00832626">
            <w:pPr>
              <w:jc w:val="center"/>
              <w:rPr>
                <w:b/>
                <w:bCs/>
                <w:szCs w:val="24"/>
              </w:rPr>
            </w:pPr>
            <w:r w:rsidRPr="006F3E1C">
              <w:rPr>
                <w:b/>
                <w:bCs/>
                <w:szCs w:val="24"/>
              </w:rPr>
              <w:t>Variable</w:t>
            </w:r>
          </w:p>
        </w:tc>
        <w:tc>
          <w:tcPr>
            <w:tcW w:w="1243" w:type="dxa"/>
            <w:tcBorders>
              <w:top w:val="single" w:sz="4" w:space="0" w:color="auto"/>
              <w:left w:val="nil"/>
              <w:bottom w:val="single" w:sz="4" w:space="0" w:color="auto"/>
              <w:right w:val="nil"/>
            </w:tcBorders>
            <w:shd w:val="clear" w:color="auto" w:fill="auto"/>
            <w:vAlign w:val="center"/>
            <w:hideMark/>
          </w:tcPr>
          <w:p w14:paraId="2C7F0AE8" w14:textId="77777777" w:rsidR="006F3E1C" w:rsidRPr="006F3E1C" w:rsidRDefault="006F3E1C" w:rsidP="00832626">
            <w:pPr>
              <w:jc w:val="center"/>
              <w:rPr>
                <w:b/>
                <w:bCs/>
                <w:szCs w:val="24"/>
              </w:rPr>
            </w:pPr>
            <w:r w:rsidRPr="006F3E1C">
              <w:rPr>
                <w:b/>
                <w:bCs/>
                <w:szCs w:val="24"/>
              </w:rPr>
              <w:t>Minimum</w:t>
            </w:r>
          </w:p>
        </w:tc>
        <w:tc>
          <w:tcPr>
            <w:tcW w:w="1283" w:type="dxa"/>
            <w:tcBorders>
              <w:top w:val="single" w:sz="4" w:space="0" w:color="auto"/>
              <w:left w:val="nil"/>
              <w:bottom w:val="single" w:sz="4" w:space="0" w:color="auto"/>
              <w:right w:val="nil"/>
            </w:tcBorders>
            <w:shd w:val="clear" w:color="auto" w:fill="auto"/>
            <w:vAlign w:val="center"/>
            <w:hideMark/>
          </w:tcPr>
          <w:p w14:paraId="20D232A3" w14:textId="77777777" w:rsidR="006F3E1C" w:rsidRPr="006F3E1C" w:rsidRDefault="006F3E1C" w:rsidP="00832626">
            <w:pPr>
              <w:jc w:val="center"/>
              <w:rPr>
                <w:b/>
                <w:bCs/>
                <w:szCs w:val="24"/>
              </w:rPr>
            </w:pPr>
            <w:r w:rsidRPr="006F3E1C">
              <w:rPr>
                <w:b/>
                <w:bCs/>
                <w:szCs w:val="24"/>
              </w:rPr>
              <w:t>Maximum</w:t>
            </w:r>
          </w:p>
        </w:tc>
        <w:tc>
          <w:tcPr>
            <w:tcW w:w="960" w:type="dxa"/>
            <w:tcBorders>
              <w:top w:val="single" w:sz="4" w:space="0" w:color="auto"/>
              <w:left w:val="nil"/>
              <w:bottom w:val="single" w:sz="4" w:space="0" w:color="auto"/>
              <w:right w:val="nil"/>
            </w:tcBorders>
            <w:shd w:val="clear" w:color="auto" w:fill="auto"/>
            <w:vAlign w:val="center"/>
            <w:hideMark/>
          </w:tcPr>
          <w:p w14:paraId="3AED4E36" w14:textId="77777777" w:rsidR="006F3E1C" w:rsidRPr="006F3E1C" w:rsidRDefault="006F3E1C" w:rsidP="00832626">
            <w:pPr>
              <w:jc w:val="center"/>
              <w:rPr>
                <w:b/>
                <w:bCs/>
                <w:szCs w:val="24"/>
              </w:rPr>
            </w:pPr>
            <w:r w:rsidRPr="006F3E1C">
              <w:rPr>
                <w:b/>
                <w:bCs/>
                <w:szCs w:val="24"/>
              </w:rPr>
              <w:t>Mean</w:t>
            </w:r>
          </w:p>
        </w:tc>
        <w:tc>
          <w:tcPr>
            <w:tcW w:w="960" w:type="dxa"/>
            <w:tcBorders>
              <w:top w:val="single" w:sz="4" w:space="0" w:color="auto"/>
              <w:left w:val="nil"/>
              <w:bottom w:val="single" w:sz="4" w:space="0" w:color="auto"/>
              <w:right w:val="nil"/>
            </w:tcBorders>
            <w:shd w:val="clear" w:color="auto" w:fill="auto"/>
            <w:vAlign w:val="center"/>
            <w:hideMark/>
          </w:tcPr>
          <w:p w14:paraId="3CDE53E5" w14:textId="77777777" w:rsidR="006F3E1C" w:rsidRPr="006F3E1C" w:rsidRDefault="006F3E1C" w:rsidP="00832626">
            <w:pPr>
              <w:jc w:val="center"/>
              <w:rPr>
                <w:b/>
                <w:bCs/>
                <w:szCs w:val="24"/>
              </w:rPr>
            </w:pPr>
            <w:r w:rsidRPr="006F3E1C">
              <w:rPr>
                <w:b/>
                <w:bCs/>
                <w:szCs w:val="24"/>
              </w:rPr>
              <w:t>St Dev</w:t>
            </w:r>
          </w:p>
        </w:tc>
      </w:tr>
      <w:tr w:rsidR="006F3E1C" w:rsidRPr="006F3E1C" w14:paraId="13E3463E" w14:textId="77777777" w:rsidTr="00D24D1C">
        <w:trPr>
          <w:trHeight w:val="300"/>
        </w:trPr>
        <w:tc>
          <w:tcPr>
            <w:tcW w:w="2610" w:type="dxa"/>
            <w:tcBorders>
              <w:top w:val="nil"/>
              <w:left w:val="nil"/>
              <w:bottom w:val="nil"/>
              <w:right w:val="nil"/>
            </w:tcBorders>
            <w:shd w:val="clear" w:color="auto" w:fill="auto"/>
            <w:vAlign w:val="center"/>
            <w:hideMark/>
          </w:tcPr>
          <w:p w14:paraId="560FB296" w14:textId="77777777" w:rsidR="006F3E1C" w:rsidRPr="006F3E1C" w:rsidRDefault="006F3E1C" w:rsidP="00832626">
            <w:pPr>
              <w:rPr>
                <w:szCs w:val="24"/>
              </w:rPr>
            </w:pPr>
            <w:r w:rsidRPr="006F3E1C">
              <w:rPr>
                <w:szCs w:val="24"/>
              </w:rPr>
              <w:t>Beta Factor (X1)</w:t>
            </w:r>
          </w:p>
        </w:tc>
        <w:tc>
          <w:tcPr>
            <w:tcW w:w="1243" w:type="dxa"/>
            <w:tcBorders>
              <w:top w:val="nil"/>
              <w:left w:val="nil"/>
              <w:bottom w:val="nil"/>
              <w:right w:val="nil"/>
            </w:tcBorders>
            <w:shd w:val="clear" w:color="auto" w:fill="auto"/>
            <w:noWrap/>
            <w:vAlign w:val="center"/>
            <w:hideMark/>
          </w:tcPr>
          <w:p w14:paraId="33430A8C" w14:textId="77777777" w:rsidR="006F3E1C" w:rsidRPr="006F3E1C" w:rsidRDefault="006F3E1C" w:rsidP="00832626">
            <w:pPr>
              <w:jc w:val="right"/>
              <w:rPr>
                <w:szCs w:val="24"/>
              </w:rPr>
            </w:pPr>
            <w:r w:rsidRPr="006F3E1C">
              <w:rPr>
                <w:szCs w:val="24"/>
              </w:rPr>
              <w:t>-0.410</w:t>
            </w:r>
          </w:p>
        </w:tc>
        <w:tc>
          <w:tcPr>
            <w:tcW w:w="1283" w:type="dxa"/>
            <w:tcBorders>
              <w:top w:val="nil"/>
              <w:left w:val="nil"/>
              <w:bottom w:val="nil"/>
              <w:right w:val="nil"/>
            </w:tcBorders>
            <w:shd w:val="clear" w:color="auto" w:fill="auto"/>
            <w:noWrap/>
            <w:vAlign w:val="center"/>
            <w:hideMark/>
          </w:tcPr>
          <w:p w14:paraId="2DF85F79" w14:textId="77777777" w:rsidR="006F3E1C" w:rsidRPr="006F3E1C" w:rsidRDefault="006F3E1C" w:rsidP="00832626">
            <w:pPr>
              <w:jc w:val="right"/>
              <w:rPr>
                <w:szCs w:val="24"/>
              </w:rPr>
            </w:pPr>
            <w:r w:rsidRPr="006F3E1C">
              <w:rPr>
                <w:szCs w:val="24"/>
              </w:rPr>
              <w:t>0.608</w:t>
            </w:r>
          </w:p>
        </w:tc>
        <w:tc>
          <w:tcPr>
            <w:tcW w:w="960" w:type="dxa"/>
            <w:tcBorders>
              <w:top w:val="nil"/>
              <w:left w:val="nil"/>
              <w:bottom w:val="nil"/>
              <w:right w:val="nil"/>
            </w:tcBorders>
            <w:shd w:val="clear" w:color="auto" w:fill="auto"/>
            <w:noWrap/>
            <w:vAlign w:val="center"/>
            <w:hideMark/>
          </w:tcPr>
          <w:p w14:paraId="2C736ACB" w14:textId="77777777" w:rsidR="006F3E1C" w:rsidRPr="006F3E1C" w:rsidRDefault="006F3E1C" w:rsidP="00832626">
            <w:pPr>
              <w:jc w:val="right"/>
              <w:rPr>
                <w:szCs w:val="24"/>
              </w:rPr>
            </w:pPr>
            <w:r w:rsidRPr="006F3E1C">
              <w:rPr>
                <w:szCs w:val="24"/>
              </w:rPr>
              <w:t>0.026</w:t>
            </w:r>
          </w:p>
        </w:tc>
        <w:tc>
          <w:tcPr>
            <w:tcW w:w="960" w:type="dxa"/>
            <w:tcBorders>
              <w:top w:val="nil"/>
              <w:left w:val="nil"/>
              <w:bottom w:val="nil"/>
              <w:right w:val="nil"/>
            </w:tcBorders>
            <w:shd w:val="clear" w:color="auto" w:fill="auto"/>
            <w:noWrap/>
            <w:vAlign w:val="center"/>
            <w:hideMark/>
          </w:tcPr>
          <w:p w14:paraId="62D4AC4F" w14:textId="77777777" w:rsidR="006F3E1C" w:rsidRPr="006F3E1C" w:rsidRDefault="006F3E1C" w:rsidP="00832626">
            <w:pPr>
              <w:jc w:val="right"/>
              <w:rPr>
                <w:szCs w:val="24"/>
              </w:rPr>
            </w:pPr>
            <w:r w:rsidRPr="006F3E1C">
              <w:rPr>
                <w:szCs w:val="24"/>
              </w:rPr>
              <w:t>0.148</w:t>
            </w:r>
          </w:p>
        </w:tc>
      </w:tr>
      <w:tr w:rsidR="006F3E1C" w:rsidRPr="006F3E1C" w14:paraId="35B1F6C7" w14:textId="77777777" w:rsidTr="00D24D1C">
        <w:trPr>
          <w:trHeight w:val="300"/>
        </w:trPr>
        <w:tc>
          <w:tcPr>
            <w:tcW w:w="2610" w:type="dxa"/>
            <w:tcBorders>
              <w:top w:val="nil"/>
              <w:left w:val="nil"/>
              <w:bottom w:val="nil"/>
              <w:right w:val="nil"/>
            </w:tcBorders>
            <w:shd w:val="clear" w:color="auto" w:fill="auto"/>
            <w:vAlign w:val="center"/>
            <w:hideMark/>
          </w:tcPr>
          <w:p w14:paraId="110A6F73" w14:textId="77777777" w:rsidR="006F3E1C" w:rsidRPr="006F3E1C" w:rsidRDefault="006F3E1C" w:rsidP="00832626">
            <w:pPr>
              <w:rPr>
                <w:szCs w:val="24"/>
              </w:rPr>
            </w:pPr>
            <w:r w:rsidRPr="006F3E1C">
              <w:rPr>
                <w:szCs w:val="24"/>
              </w:rPr>
              <w:t>Interest rate risk (X2)</w:t>
            </w:r>
          </w:p>
        </w:tc>
        <w:tc>
          <w:tcPr>
            <w:tcW w:w="1243" w:type="dxa"/>
            <w:tcBorders>
              <w:top w:val="nil"/>
              <w:left w:val="nil"/>
              <w:bottom w:val="nil"/>
              <w:right w:val="nil"/>
            </w:tcBorders>
            <w:shd w:val="clear" w:color="auto" w:fill="auto"/>
            <w:noWrap/>
            <w:vAlign w:val="center"/>
            <w:hideMark/>
          </w:tcPr>
          <w:p w14:paraId="586247B9" w14:textId="77777777" w:rsidR="006F3E1C" w:rsidRPr="006F3E1C" w:rsidRDefault="006F3E1C" w:rsidP="00832626">
            <w:pPr>
              <w:jc w:val="right"/>
              <w:rPr>
                <w:szCs w:val="24"/>
              </w:rPr>
            </w:pPr>
            <w:r w:rsidRPr="006F3E1C">
              <w:rPr>
                <w:szCs w:val="24"/>
              </w:rPr>
              <w:t>-1,677</w:t>
            </w:r>
          </w:p>
        </w:tc>
        <w:tc>
          <w:tcPr>
            <w:tcW w:w="1283" w:type="dxa"/>
            <w:tcBorders>
              <w:top w:val="nil"/>
              <w:left w:val="nil"/>
              <w:bottom w:val="nil"/>
              <w:right w:val="nil"/>
            </w:tcBorders>
            <w:shd w:val="clear" w:color="auto" w:fill="auto"/>
            <w:noWrap/>
            <w:vAlign w:val="center"/>
            <w:hideMark/>
          </w:tcPr>
          <w:p w14:paraId="4D665FD8" w14:textId="77777777" w:rsidR="006F3E1C" w:rsidRPr="006F3E1C" w:rsidRDefault="006F3E1C" w:rsidP="00832626">
            <w:pPr>
              <w:jc w:val="right"/>
              <w:rPr>
                <w:szCs w:val="24"/>
              </w:rPr>
            </w:pPr>
            <w:r w:rsidRPr="006F3E1C">
              <w:rPr>
                <w:szCs w:val="24"/>
              </w:rPr>
              <w:t>1,946</w:t>
            </w:r>
          </w:p>
        </w:tc>
        <w:tc>
          <w:tcPr>
            <w:tcW w:w="960" w:type="dxa"/>
            <w:tcBorders>
              <w:top w:val="nil"/>
              <w:left w:val="nil"/>
              <w:bottom w:val="nil"/>
              <w:right w:val="nil"/>
            </w:tcBorders>
            <w:shd w:val="clear" w:color="auto" w:fill="auto"/>
            <w:noWrap/>
            <w:vAlign w:val="center"/>
            <w:hideMark/>
          </w:tcPr>
          <w:p w14:paraId="6B77C0ED" w14:textId="77777777" w:rsidR="006F3E1C" w:rsidRPr="006F3E1C" w:rsidRDefault="006F3E1C" w:rsidP="00832626">
            <w:pPr>
              <w:jc w:val="right"/>
              <w:rPr>
                <w:szCs w:val="24"/>
              </w:rPr>
            </w:pPr>
            <w:r w:rsidRPr="006F3E1C">
              <w:rPr>
                <w:szCs w:val="24"/>
              </w:rPr>
              <w:t>0.027</w:t>
            </w:r>
          </w:p>
        </w:tc>
        <w:tc>
          <w:tcPr>
            <w:tcW w:w="960" w:type="dxa"/>
            <w:tcBorders>
              <w:top w:val="nil"/>
              <w:left w:val="nil"/>
              <w:bottom w:val="nil"/>
              <w:right w:val="nil"/>
            </w:tcBorders>
            <w:shd w:val="clear" w:color="auto" w:fill="auto"/>
            <w:noWrap/>
            <w:vAlign w:val="center"/>
            <w:hideMark/>
          </w:tcPr>
          <w:p w14:paraId="6C312DAB" w14:textId="77777777" w:rsidR="006F3E1C" w:rsidRPr="006F3E1C" w:rsidRDefault="006F3E1C" w:rsidP="00832626">
            <w:pPr>
              <w:jc w:val="right"/>
              <w:rPr>
                <w:szCs w:val="24"/>
              </w:rPr>
            </w:pPr>
            <w:r w:rsidRPr="006F3E1C">
              <w:rPr>
                <w:szCs w:val="24"/>
              </w:rPr>
              <w:t>0.519</w:t>
            </w:r>
          </w:p>
        </w:tc>
      </w:tr>
      <w:tr w:rsidR="006F3E1C" w:rsidRPr="006F3E1C" w14:paraId="208B8F02" w14:textId="77777777" w:rsidTr="00D24D1C">
        <w:trPr>
          <w:trHeight w:val="300"/>
        </w:trPr>
        <w:tc>
          <w:tcPr>
            <w:tcW w:w="2610" w:type="dxa"/>
            <w:tcBorders>
              <w:top w:val="nil"/>
              <w:left w:val="nil"/>
              <w:bottom w:val="nil"/>
              <w:right w:val="nil"/>
            </w:tcBorders>
            <w:shd w:val="clear" w:color="auto" w:fill="auto"/>
            <w:vAlign w:val="center"/>
            <w:hideMark/>
          </w:tcPr>
          <w:p w14:paraId="0754FB4D" w14:textId="77777777" w:rsidR="006F3E1C" w:rsidRPr="006F3E1C" w:rsidRDefault="006F3E1C" w:rsidP="00832626">
            <w:pPr>
              <w:rPr>
                <w:szCs w:val="24"/>
              </w:rPr>
            </w:pPr>
            <w:r w:rsidRPr="006F3E1C">
              <w:rPr>
                <w:szCs w:val="24"/>
              </w:rPr>
              <w:t>Financial Distress (X3)</w:t>
            </w:r>
          </w:p>
        </w:tc>
        <w:tc>
          <w:tcPr>
            <w:tcW w:w="1243" w:type="dxa"/>
            <w:tcBorders>
              <w:top w:val="nil"/>
              <w:left w:val="nil"/>
              <w:bottom w:val="nil"/>
              <w:right w:val="nil"/>
            </w:tcBorders>
            <w:shd w:val="clear" w:color="auto" w:fill="auto"/>
            <w:noWrap/>
            <w:vAlign w:val="center"/>
            <w:hideMark/>
          </w:tcPr>
          <w:p w14:paraId="623965A1" w14:textId="77777777" w:rsidR="006F3E1C" w:rsidRPr="006F3E1C" w:rsidRDefault="006F3E1C" w:rsidP="00832626">
            <w:pPr>
              <w:jc w:val="right"/>
              <w:rPr>
                <w:szCs w:val="24"/>
              </w:rPr>
            </w:pPr>
            <w:r w:rsidRPr="006F3E1C">
              <w:rPr>
                <w:szCs w:val="24"/>
              </w:rPr>
              <w:t>-9,381</w:t>
            </w:r>
          </w:p>
        </w:tc>
        <w:tc>
          <w:tcPr>
            <w:tcW w:w="1283" w:type="dxa"/>
            <w:tcBorders>
              <w:top w:val="nil"/>
              <w:left w:val="nil"/>
              <w:bottom w:val="nil"/>
              <w:right w:val="nil"/>
            </w:tcBorders>
            <w:shd w:val="clear" w:color="auto" w:fill="auto"/>
            <w:noWrap/>
            <w:vAlign w:val="center"/>
            <w:hideMark/>
          </w:tcPr>
          <w:p w14:paraId="4EFCB538" w14:textId="77777777" w:rsidR="006F3E1C" w:rsidRPr="006F3E1C" w:rsidRDefault="006F3E1C" w:rsidP="00832626">
            <w:pPr>
              <w:jc w:val="right"/>
              <w:rPr>
                <w:szCs w:val="24"/>
              </w:rPr>
            </w:pPr>
            <w:r w:rsidRPr="006F3E1C">
              <w:rPr>
                <w:szCs w:val="24"/>
              </w:rPr>
              <w:t>9,554</w:t>
            </w:r>
          </w:p>
        </w:tc>
        <w:tc>
          <w:tcPr>
            <w:tcW w:w="960" w:type="dxa"/>
            <w:tcBorders>
              <w:top w:val="nil"/>
              <w:left w:val="nil"/>
              <w:bottom w:val="nil"/>
              <w:right w:val="nil"/>
            </w:tcBorders>
            <w:shd w:val="clear" w:color="auto" w:fill="auto"/>
            <w:noWrap/>
            <w:vAlign w:val="center"/>
            <w:hideMark/>
          </w:tcPr>
          <w:p w14:paraId="4FC0F61E" w14:textId="77777777" w:rsidR="006F3E1C" w:rsidRPr="006F3E1C" w:rsidRDefault="006F3E1C" w:rsidP="00832626">
            <w:pPr>
              <w:jc w:val="right"/>
              <w:rPr>
                <w:szCs w:val="24"/>
              </w:rPr>
            </w:pPr>
            <w:r w:rsidRPr="006F3E1C">
              <w:rPr>
                <w:szCs w:val="24"/>
              </w:rPr>
              <w:t>2,524</w:t>
            </w:r>
          </w:p>
        </w:tc>
        <w:tc>
          <w:tcPr>
            <w:tcW w:w="960" w:type="dxa"/>
            <w:tcBorders>
              <w:top w:val="nil"/>
              <w:left w:val="nil"/>
              <w:bottom w:val="nil"/>
              <w:right w:val="nil"/>
            </w:tcBorders>
            <w:shd w:val="clear" w:color="auto" w:fill="auto"/>
            <w:noWrap/>
            <w:vAlign w:val="center"/>
            <w:hideMark/>
          </w:tcPr>
          <w:p w14:paraId="38AEAF65" w14:textId="77777777" w:rsidR="006F3E1C" w:rsidRPr="006F3E1C" w:rsidRDefault="006F3E1C" w:rsidP="00832626">
            <w:pPr>
              <w:jc w:val="right"/>
              <w:rPr>
                <w:szCs w:val="24"/>
              </w:rPr>
            </w:pPr>
            <w:r w:rsidRPr="006F3E1C">
              <w:rPr>
                <w:szCs w:val="24"/>
              </w:rPr>
              <w:t>2,170</w:t>
            </w:r>
          </w:p>
        </w:tc>
      </w:tr>
      <w:tr w:rsidR="006F3E1C" w:rsidRPr="006F3E1C" w14:paraId="52294B72" w14:textId="77777777" w:rsidTr="00D24D1C">
        <w:trPr>
          <w:trHeight w:val="300"/>
        </w:trPr>
        <w:tc>
          <w:tcPr>
            <w:tcW w:w="2610" w:type="dxa"/>
            <w:tcBorders>
              <w:top w:val="nil"/>
              <w:left w:val="nil"/>
              <w:bottom w:val="nil"/>
              <w:right w:val="nil"/>
            </w:tcBorders>
            <w:shd w:val="clear" w:color="auto" w:fill="auto"/>
            <w:vAlign w:val="center"/>
            <w:hideMark/>
          </w:tcPr>
          <w:p w14:paraId="24FA06FC" w14:textId="77777777" w:rsidR="006F3E1C" w:rsidRPr="006F3E1C" w:rsidRDefault="006F3E1C" w:rsidP="00832626">
            <w:pPr>
              <w:rPr>
                <w:szCs w:val="24"/>
              </w:rPr>
            </w:pPr>
            <w:r w:rsidRPr="006F3E1C">
              <w:rPr>
                <w:szCs w:val="24"/>
              </w:rPr>
              <w:t>ROA (M)</w:t>
            </w:r>
          </w:p>
        </w:tc>
        <w:tc>
          <w:tcPr>
            <w:tcW w:w="1243" w:type="dxa"/>
            <w:tcBorders>
              <w:top w:val="nil"/>
              <w:left w:val="nil"/>
              <w:bottom w:val="nil"/>
              <w:right w:val="nil"/>
            </w:tcBorders>
            <w:shd w:val="clear" w:color="auto" w:fill="auto"/>
            <w:noWrap/>
            <w:vAlign w:val="center"/>
            <w:hideMark/>
          </w:tcPr>
          <w:p w14:paraId="26EAC16C" w14:textId="77777777" w:rsidR="006F3E1C" w:rsidRPr="006F3E1C" w:rsidRDefault="006F3E1C" w:rsidP="00832626">
            <w:pPr>
              <w:jc w:val="right"/>
              <w:rPr>
                <w:szCs w:val="24"/>
              </w:rPr>
            </w:pPr>
            <w:r w:rsidRPr="006F3E1C">
              <w:rPr>
                <w:szCs w:val="24"/>
              </w:rPr>
              <w:t>-1,619</w:t>
            </w:r>
          </w:p>
        </w:tc>
        <w:tc>
          <w:tcPr>
            <w:tcW w:w="1283" w:type="dxa"/>
            <w:tcBorders>
              <w:top w:val="nil"/>
              <w:left w:val="nil"/>
              <w:bottom w:val="nil"/>
              <w:right w:val="nil"/>
            </w:tcBorders>
            <w:shd w:val="clear" w:color="auto" w:fill="auto"/>
            <w:noWrap/>
            <w:vAlign w:val="center"/>
            <w:hideMark/>
          </w:tcPr>
          <w:p w14:paraId="170B17D7" w14:textId="77777777" w:rsidR="006F3E1C" w:rsidRPr="006F3E1C" w:rsidRDefault="006F3E1C" w:rsidP="00832626">
            <w:pPr>
              <w:jc w:val="right"/>
              <w:rPr>
                <w:szCs w:val="24"/>
              </w:rPr>
            </w:pPr>
            <w:r w:rsidRPr="006F3E1C">
              <w:rPr>
                <w:szCs w:val="24"/>
              </w:rPr>
              <w:t>0.455</w:t>
            </w:r>
          </w:p>
        </w:tc>
        <w:tc>
          <w:tcPr>
            <w:tcW w:w="960" w:type="dxa"/>
            <w:tcBorders>
              <w:top w:val="nil"/>
              <w:left w:val="nil"/>
              <w:bottom w:val="nil"/>
              <w:right w:val="nil"/>
            </w:tcBorders>
            <w:shd w:val="clear" w:color="auto" w:fill="auto"/>
            <w:noWrap/>
            <w:vAlign w:val="center"/>
            <w:hideMark/>
          </w:tcPr>
          <w:p w14:paraId="1F9E5126" w14:textId="77777777" w:rsidR="006F3E1C" w:rsidRPr="006F3E1C" w:rsidRDefault="006F3E1C" w:rsidP="00832626">
            <w:pPr>
              <w:jc w:val="right"/>
              <w:rPr>
                <w:szCs w:val="24"/>
              </w:rPr>
            </w:pPr>
            <w:r w:rsidRPr="006F3E1C">
              <w:rPr>
                <w:szCs w:val="24"/>
              </w:rPr>
              <w:t>0.051</w:t>
            </w:r>
          </w:p>
        </w:tc>
        <w:tc>
          <w:tcPr>
            <w:tcW w:w="960" w:type="dxa"/>
            <w:tcBorders>
              <w:top w:val="nil"/>
              <w:left w:val="nil"/>
              <w:bottom w:val="nil"/>
              <w:right w:val="nil"/>
            </w:tcBorders>
            <w:shd w:val="clear" w:color="auto" w:fill="auto"/>
            <w:noWrap/>
            <w:vAlign w:val="center"/>
            <w:hideMark/>
          </w:tcPr>
          <w:p w14:paraId="179BE192" w14:textId="77777777" w:rsidR="006F3E1C" w:rsidRPr="006F3E1C" w:rsidRDefault="006F3E1C" w:rsidP="00832626">
            <w:pPr>
              <w:jc w:val="right"/>
              <w:rPr>
                <w:szCs w:val="24"/>
              </w:rPr>
            </w:pPr>
            <w:r w:rsidRPr="006F3E1C">
              <w:rPr>
                <w:szCs w:val="24"/>
              </w:rPr>
              <w:t>0.161</w:t>
            </w:r>
          </w:p>
        </w:tc>
      </w:tr>
      <w:tr w:rsidR="006F3E1C" w:rsidRPr="006F3E1C" w14:paraId="5C1A71A0" w14:textId="77777777" w:rsidTr="00D24D1C">
        <w:trPr>
          <w:trHeight w:val="300"/>
        </w:trPr>
        <w:tc>
          <w:tcPr>
            <w:tcW w:w="2610" w:type="dxa"/>
            <w:tcBorders>
              <w:top w:val="nil"/>
              <w:left w:val="nil"/>
              <w:bottom w:val="single" w:sz="4" w:space="0" w:color="auto"/>
              <w:right w:val="nil"/>
            </w:tcBorders>
            <w:shd w:val="clear" w:color="auto" w:fill="auto"/>
            <w:vAlign w:val="center"/>
            <w:hideMark/>
          </w:tcPr>
          <w:p w14:paraId="1540311A" w14:textId="77777777" w:rsidR="006F3E1C" w:rsidRPr="006F3E1C" w:rsidRDefault="006F3E1C" w:rsidP="00832626">
            <w:pPr>
              <w:rPr>
                <w:szCs w:val="24"/>
              </w:rPr>
            </w:pPr>
            <w:r w:rsidRPr="006F3E1C">
              <w:rPr>
                <w:szCs w:val="24"/>
              </w:rPr>
              <w:t>Stock Return (Y)</w:t>
            </w:r>
          </w:p>
        </w:tc>
        <w:tc>
          <w:tcPr>
            <w:tcW w:w="1243" w:type="dxa"/>
            <w:tcBorders>
              <w:top w:val="nil"/>
              <w:left w:val="nil"/>
              <w:bottom w:val="single" w:sz="4" w:space="0" w:color="auto"/>
              <w:right w:val="nil"/>
            </w:tcBorders>
            <w:shd w:val="clear" w:color="auto" w:fill="auto"/>
            <w:noWrap/>
            <w:vAlign w:val="center"/>
            <w:hideMark/>
          </w:tcPr>
          <w:p w14:paraId="5AA8805F" w14:textId="77777777" w:rsidR="006F3E1C" w:rsidRPr="006F3E1C" w:rsidRDefault="006F3E1C" w:rsidP="00832626">
            <w:pPr>
              <w:jc w:val="right"/>
              <w:rPr>
                <w:szCs w:val="24"/>
              </w:rPr>
            </w:pPr>
            <w:r w:rsidRPr="006F3E1C">
              <w:rPr>
                <w:szCs w:val="24"/>
              </w:rPr>
              <w:t>-0.768</w:t>
            </w:r>
          </w:p>
        </w:tc>
        <w:tc>
          <w:tcPr>
            <w:tcW w:w="1283" w:type="dxa"/>
            <w:tcBorders>
              <w:top w:val="nil"/>
              <w:left w:val="nil"/>
              <w:bottom w:val="single" w:sz="4" w:space="0" w:color="auto"/>
              <w:right w:val="nil"/>
            </w:tcBorders>
            <w:shd w:val="clear" w:color="auto" w:fill="auto"/>
            <w:noWrap/>
            <w:vAlign w:val="center"/>
            <w:hideMark/>
          </w:tcPr>
          <w:p w14:paraId="0D5192C2" w14:textId="77777777" w:rsidR="006F3E1C" w:rsidRPr="006F3E1C" w:rsidRDefault="006F3E1C" w:rsidP="00832626">
            <w:pPr>
              <w:jc w:val="right"/>
              <w:rPr>
                <w:szCs w:val="24"/>
              </w:rPr>
            </w:pPr>
            <w:r w:rsidRPr="006F3E1C">
              <w:rPr>
                <w:szCs w:val="24"/>
              </w:rPr>
              <w:t>0.913</w:t>
            </w:r>
          </w:p>
        </w:tc>
        <w:tc>
          <w:tcPr>
            <w:tcW w:w="960" w:type="dxa"/>
            <w:tcBorders>
              <w:top w:val="nil"/>
              <w:left w:val="nil"/>
              <w:bottom w:val="single" w:sz="4" w:space="0" w:color="auto"/>
              <w:right w:val="nil"/>
            </w:tcBorders>
            <w:shd w:val="clear" w:color="auto" w:fill="auto"/>
            <w:noWrap/>
            <w:vAlign w:val="center"/>
            <w:hideMark/>
          </w:tcPr>
          <w:p w14:paraId="0D77D294" w14:textId="77777777" w:rsidR="006F3E1C" w:rsidRPr="006F3E1C" w:rsidRDefault="006F3E1C" w:rsidP="00832626">
            <w:pPr>
              <w:jc w:val="right"/>
              <w:rPr>
                <w:szCs w:val="24"/>
              </w:rPr>
            </w:pPr>
            <w:r w:rsidRPr="006F3E1C">
              <w:rPr>
                <w:szCs w:val="24"/>
              </w:rPr>
              <w:t>-0.012</w:t>
            </w:r>
          </w:p>
        </w:tc>
        <w:tc>
          <w:tcPr>
            <w:tcW w:w="960" w:type="dxa"/>
            <w:tcBorders>
              <w:top w:val="nil"/>
              <w:left w:val="nil"/>
              <w:bottom w:val="single" w:sz="4" w:space="0" w:color="auto"/>
              <w:right w:val="nil"/>
            </w:tcBorders>
            <w:shd w:val="clear" w:color="auto" w:fill="auto"/>
            <w:noWrap/>
            <w:vAlign w:val="center"/>
            <w:hideMark/>
          </w:tcPr>
          <w:p w14:paraId="48D630C9" w14:textId="77777777" w:rsidR="006F3E1C" w:rsidRPr="006F3E1C" w:rsidRDefault="006F3E1C" w:rsidP="00832626">
            <w:pPr>
              <w:jc w:val="right"/>
              <w:rPr>
                <w:szCs w:val="24"/>
              </w:rPr>
            </w:pPr>
            <w:r w:rsidRPr="006F3E1C">
              <w:rPr>
                <w:szCs w:val="24"/>
              </w:rPr>
              <w:t>0.282</w:t>
            </w:r>
          </w:p>
        </w:tc>
      </w:tr>
    </w:tbl>
    <w:p w14:paraId="7D85E276" w14:textId="77777777" w:rsidR="006F3E1C" w:rsidRPr="006F3E1C" w:rsidRDefault="006F3E1C" w:rsidP="006F3E1C">
      <w:pPr>
        <w:ind w:firstLine="720"/>
        <w:jc w:val="both"/>
        <w:rPr>
          <w:szCs w:val="24"/>
          <w:lang w:val="en-US"/>
        </w:rPr>
      </w:pPr>
    </w:p>
    <w:p w14:paraId="144DB2D2" w14:textId="77777777" w:rsidR="006F3E1C" w:rsidRPr="006F3E1C" w:rsidRDefault="006F3E1C" w:rsidP="006F3E1C">
      <w:pPr>
        <w:ind w:firstLine="720"/>
        <w:jc w:val="both"/>
        <w:rPr>
          <w:szCs w:val="24"/>
          <w:lang w:val="en-US"/>
        </w:rPr>
      </w:pPr>
      <w:r w:rsidRPr="006F3E1C">
        <w:rPr>
          <w:szCs w:val="24"/>
          <w:lang w:val="en-US"/>
        </w:rPr>
        <w:t xml:space="preserve">Based on the research variable description table, it can be observed that the Beta Factor (X1) has a minimum value of -0.410 and a maximum value of 0.608, with an average of 0.026 and a standard deviation of 0.148. This shows that there is quite large variation in the Beta Factor values between companies in the research sample. A negative minimum Beta Factor indicates that the company's share price movement is in the opposite direction to the JCI movement, while a positive maximum Beta Factor indicates that the company's share price movement is in the same direction as the IHSG movement. Interest Rate Risk (X2) has a minimum value of -1.677 and a maximum of 1.946, with an average of 0.027 and a standard deviation of 0.519. The variation in Interest Rate Risk values between companies in the research sample is also quite large. A negative minimum Interest Rate Risk value indicates that the company benefits from a decrease in interest rates, while a positive maximum Interest Rate Risk value indicates that the company is disadvantaged by an increase in interest rates. Financial Distress (X3) has a minimum value of -9.381 and a maximum of 9.554, with an average of 2.524 and a standard deviation of 2.170. The variation in Financial Distress scores between companies in the research sample is also quite large. A negative minimum Financial Distress value indicates that the company is in a healthy financial condition, while a positive maximum Financial Distress value indicates that the company is in a high-risk financial condition. ROA (M) has a minimum value of -1.619 and a maximum of 0.455, with an average of 0.051 and a standard deviation of 0.161. Variations in ROA values between companies in the research sample are quite small. A negative minimum ROA value indicates that the company experienced a loss, while a positive maximum ROA value indicates that the company made a profit. Stock Return (Y) has a minimum value of -0.768 and a maximum of 0.913, with an average of -0.012 and a standard deviation of 0.282. The variation in stock return values between companies in the research sample is quite large. A negative minimum stock return value indicates </w:t>
      </w:r>
      <w:r w:rsidRPr="006F3E1C">
        <w:rPr>
          <w:szCs w:val="24"/>
          <w:lang w:val="en-US"/>
        </w:rPr>
        <w:lastRenderedPageBreak/>
        <w:t>that the company's share price has decreased, while a positive maximum stock return value indicates that the company's share price has increased.</w:t>
      </w:r>
    </w:p>
    <w:p w14:paraId="03D1CFC6" w14:textId="77777777" w:rsidR="006F3E1C" w:rsidRPr="006F3E1C" w:rsidRDefault="006F3E1C" w:rsidP="006F3E1C">
      <w:pPr>
        <w:jc w:val="both"/>
        <w:rPr>
          <w:b/>
          <w:szCs w:val="24"/>
          <w:lang w:val="en-US"/>
        </w:rPr>
      </w:pPr>
    </w:p>
    <w:p w14:paraId="231C9C39" w14:textId="7858E51D" w:rsidR="006F3E1C" w:rsidRPr="006F3E1C" w:rsidRDefault="00D24D1C" w:rsidP="006F3E1C">
      <w:pPr>
        <w:jc w:val="both"/>
        <w:rPr>
          <w:b/>
          <w:szCs w:val="24"/>
          <w:lang w:val="en-US"/>
        </w:rPr>
      </w:pPr>
      <w:r>
        <w:rPr>
          <w:b/>
          <w:szCs w:val="24"/>
          <w:lang w:val="en-US"/>
        </w:rPr>
        <w:t>A</w:t>
      </w:r>
      <w:r w:rsidR="006F3E1C" w:rsidRPr="006F3E1C">
        <w:rPr>
          <w:b/>
          <w:szCs w:val="24"/>
          <w:lang w:val="en-US"/>
        </w:rPr>
        <w:t>ssumption test</w:t>
      </w:r>
      <w:r>
        <w:rPr>
          <w:b/>
          <w:szCs w:val="24"/>
          <w:lang w:val="en-US"/>
        </w:rPr>
        <w:t>ing</w:t>
      </w:r>
    </w:p>
    <w:p w14:paraId="1BA20084" w14:textId="77777777" w:rsidR="006F3E1C" w:rsidRPr="006F3E1C" w:rsidRDefault="006F3E1C" w:rsidP="00D24D1C">
      <w:pPr>
        <w:jc w:val="center"/>
        <w:rPr>
          <w:szCs w:val="24"/>
          <w:lang w:val="en-US"/>
        </w:rPr>
      </w:pPr>
      <w:r w:rsidRPr="006F3E1C">
        <w:rPr>
          <w:szCs w:val="24"/>
          <w:lang w:val="en-US"/>
        </w:rPr>
        <w:t>Table 2. Multicollinearity test</w:t>
      </w:r>
    </w:p>
    <w:tbl>
      <w:tblPr>
        <w:tblW w:w="5760" w:type="dxa"/>
        <w:jc w:val="center"/>
        <w:tblLook w:val="04A0" w:firstRow="1" w:lastRow="0" w:firstColumn="1" w:lastColumn="0" w:noHBand="0" w:noVBand="1"/>
      </w:tblPr>
      <w:tblGrid>
        <w:gridCol w:w="2880"/>
        <w:gridCol w:w="1920"/>
        <w:gridCol w:w="960"/>
      </w:tblGrid>
      <w:tr w:rsidR="006F3E1C" w:rsidRPr="006F3E1C" w14:paraId="6EDDE2F1" w14:textId="77777777" w:rsidTr="00D24D1C">
        <w:trPr>
          <w:trHeight w:val="300"/>
          <w:jc w:val="center"/>
        </w:trPr>
        <w:tc>
          <w:tcPr>
            <w:tcW w:w="2880" w:type="dxa"/>
            <w:vMerge w:val="restart"/>
            <w:tcBorders>
              <w:top w:val="single" w:sz="4" w:space="0" w:color="auto"/>
              <w:left w:val="nil"/>
              <w:bottom w:val="single" w:sz="4" w:space="0" w:color="000000"/>
              <w:right w:val="nil"/>
            </w:tcBorders>
            <w:shd w:val="clear" w:color="auto" w:fill="auto"/>
            <w:noWrap/>
            <w:vAlign w:val="center"/>
            <w:hideMark/>
          </w:tcPr>
          <w:p w14:paraId="30FA7835" w14:textId="77777777" w:rsidR="006F3E1C" w:rsidRPr="006F3E1C" w:rsidRDefault="006F3E1C" w:rsidP="00832626">
            <w:pPr>
              <w:jc w:val="center"/>
              <w:rPr>
                <w:b/>
                <w:bCs/>
                <w:szCs w:val="24"/>
              </w:rPr>
            </w:pPr>
            <w:r w:rsidRPr="006F3E1C">
              <w:rPr>
                <w:b/>
                <w:bCs/>
                <w:szCs w:val="24"/>
              </w:rPr>
              <w:t>Variable</w:t>
            </w:r>
          </w:p>
        </w:tc>
        <w:tc>
          <w:tcPr>
            <w:tcW w:w="2880" w:type="dxa"/>
            <w:gridSpan w:val="2"/>
            <w:tcBorders>
              <w:top w:val="single" w:sz="4" w:space="0" w:color="auto"/>
              <w:left w:val="nil"/>
              <w:bottom w:val="nil"/>
              <w:right w:val="nil"/>
            </w:tcBorders>
            <w:shd w:val="clear" w:color="auto" w:fill="auto"/>
            <w:vAlign w:val="center"/>
            <w:hideMark/>
          </w:tcPr>
          <w:p w14:paraId="13E26232" w14:textId="77777777" w:rsidR="006F3E1C" w:rsidRPr="006F3E1C" w:rsidRDefault="006F3E1C" w:rsidP="00832626">
            <w:pPr>
              <w:jc w:val="center"/>
              <w:rPr>
                <w:b/>
                <w:bCs/>
                <w:szCs w:val="24"/>
              </w:rPr>
            </w:pPr>
            <w:r w:rsidRPr="006F3E1C">
              <w:rPr>
                <w:b/>
                <w:bCs/>
                <w:szCs w:val="24"/>
              </w:rPr>
              <w:t>Collinearity Statistics</w:t>
            </w:r>
          </w:p>
        </w:tc>
      </w:tr>
      <w:tr w:rsidR="006F3E1C" w:rsidRPr="006F3E1C" w14:paraId="0282993E" w14:textId="77777777" w:rsidTr="00D24D1C">
        <w:trPr>
          <w:trHeight w:val="510"/>
          <w:jc w:val="center"/>
        </w:trPr>
        <w:tc>
          <w:tcPr>
            <w:tcW w:w="2880" w:type="dxa"/>
            <w:vMerge/>
            <w:tcBorders>
              <w:top w:val="single" w:sz="4" w:space="0" w:color="auto"/>
              <w:left w:val="nil"/>
              <w:bottom w:val="single" w:sz="4" w:space="0" w:color="000000"/>
              <w:right w:val="nil"/>
            </w:tcBorders>
            <w:vAlign w:val="center"/>
            <w:hideMark/>
          </w:tcPr>
          <w:p w14:paraId="51581C07" w14:textId="77777777" w:rsidR="006F3E1C" w:rsidRPr="006F3E1C" w:rsidRDefault="006F3E1C" w:rsidP="00832626">
            <w:pPr>
              <w:rPr>
                <w:b/>
                <w:bCs/>
                <w:szCs w:val="24"/>
              </w:rPr>
            </w:pPr>
          </w:p>
        </w:tc>
        <w:tc>
          <w:tcPr>
            <w:tcW w:w="1920" w:type="dxa"/>
            <w:tcBorders>
              <w:top w:val="nil"/>
              <w:left w:val="nil"/>
              <w:bottom w:val="single" w:sz="4" w:space="0" w:color="auto"/>
              <w:right w:val="nil"/>
            </w:tcBorders>
            <w:shd w:val="clear" w:color="auto" w:fill="auto"/>
            <w:vAlign w:val="center"/>
            <w:hideMark/>
          </w:tcPr>
          <w:p w14:paraId="3C3828B6" w14:textId="77777777" w:rsidR="006F3E1C" w:rsidRPr="006F3E1C" w:rsidRDefault="006F3E1C" w:rsidP="00832626">
            <w:pPr>
              <w:jc w:val="center"/>
              <w:rPr>
                <w:b/>
                <w:bCs/>
                <w:szCs w:val="24"/>
              </w:rPr>
            </w:pPr>
            <w:r w:rsidRPr="006F3E1C">
              <w:rPr>
                <w:b/>
                <w:bCs/>
                <w:szCs w:val="24"/>
              </w:rPr>
              <w:t>Tolerance</w:t>
            </w:r>
          </w:p>
        </w:tc>
        <w:tc>
          <w:tcPr>
            <w:tcW w:w="960" w:type="dxa"/>
            <w:tcBorders>
              <w:top w:val="nil"/>
              <w:left w:val="nil"/>
              <w:bottom w:val="single" w:sz="4" w:space="0" w:color="auto"/>
              <w:right w:val="nil"/>
            </w:tcBorders>
            <w:shd w:val="clear" w:color="auto" w:fill="auto"/>
            <w:vAlign w:val="center"/>
            <w:hideMark/>
          </w:tcPr>
          <w:p w14:paraId="517EA4BC" w14:textId="77777777" w:rsidR="006F3E1C" w:rsidRPr="006F3E1C" w:rsidRDefault="006F3E1C" w:rsidP="00832626">
            <w:pPr>
              <w:jc w:val="center"/>
              <w:rPr>
                <w:b/>
                <w:bCs/>
                <w:szCs w:val="24"/>
              </w:rPr>
            </w:pPr>
            <w:r w:rsidRPr="006F3E1C">
              <w:rPr>
                <w:b/>
                <w:bCs/>
                <w:szCs w:val="24"/>
              </w:rPr>
              <w:t>VIF</w:t>
            </w:r>
          </w:p>
        </w:tc>
      </w:tr>
      <w:tr w:rsidR="006F3E1C" w:rsidRPr="006F3E1C" w14:paraId="0AC09A25" w14:textId="77777777" w:rsidTr="00D24D1C">
        <w:trPr>
          <w:trHeight w:val="300"/>
          <w:jc w:val="center"/>
        </w:trPr>
        <w:tc>
          <w:tcPr>
            <w:tcW w:w="2880" w:type="dxa"/>
            <w:tcBorders>
              <w:top w:val="nil"/>
              <w:left w:val="nil"/>
              <w:bottom w:val="nil"/>
              <w:right w:val="nil"/>
            </w:tcBorders>
            <w:shd w:val="clear" w:color="auto" w:fill="auto"/>
            <w:noWrap/>
            <w:vAlign w:val="center"/>
            <w:hideMark/>
          </w:tcPr>
          <w:p w14:paraId="673D83F0" w14:textId="77777777" w:rsidR="006F3E1C" w:rsidRPr="006F3E1C" w:rsidRDefault="006F3E1C" w:rsidP="00832626">
            <w:pPr>
              <w:rPr>
                <w:szCs w:val="24"/>
              </w:rPr>
            </w:pPr>
            <w:r w:rsidRPr="006F3E1C">
              <w:rPr>
                <w:szCs w:val="24"/>
              </w:rPr>
              <w:t>Beta Factor (X1)</w:t>
            </w:r>
          </w:p>
        </w:tc>
        <w:tc>
          <w:tcPr>
            <w:tcW w:w="1920" w:type="dxa"/>
            <w:tcBorders>
              <w:top w:val="nil"/>
              <w:left w:val="nil"/>
              <w:bottom w:val="nil"/>
              <w:right w:val="nil"/>
            </w:tcBorders>
            <w:shd w:val="clear" w:color="auto" w:fill="auto"/>
            <w:noWrap/>
            <w:vAlign w:val="center"/>
            <w:hideMark/>
          </w:tcPr>
          <w:p w14:paraId="3DFB72AB" w14:textId="77777777" w:rsidR="006F3E1C" w:rsidRPr="006F3E1C" w:rsidRDefault="006F3E1C" w:rsidP="00832626">
            <w:pPr>
              <w:jc w:val="right"/>
              <w:rPr>
                <w:szCs w:val="24"/>
              </w:rPr>
            </w:pPr>
            <w:r w:rsidRPr="006F3E1C">
              <w:rPr>
                <w:szCs w:val="24"/>
              </w:rPr>
              <w:t>0.962</w:t>
            </w:r>
          </w:p>
        </w:tc>
        <w:tc>
          <w:tcPr>
            <w:tcW w:w="960" w:type="dxa"/>
            <w:tcBorders>
              <w:top w:val="nil"/>
              <w:left w:val="nil"/>
              <w:bottom w:val="nil"/>
              <w:right w:val="nil"/>
            </w:tcBorders>
            <w:shd w:val="clear" w:color="auto" w:fill="auto"/>
            <w:noWrap/>
            <w:vAlign w:val="center"/>
            <w:hideMark/>
          </w:tcPr>
          <w:p w14:paraId="726AEADA" w14:textId="77777777" w:rsidR="006F3E1C" w:rsidRPr="006F3E1C" w:rsidRDefault="006F3E1C" w:rsidP="00832626">
            <w:pPr>
              <w:jc w:val="right"/>
              <w:rPr>
                <w:szCs w:val="24"/>
              </w:rPr>
            </w:pPr>
            <w:r w:rsidRPr="006F3E1C">
              <w:rPr>
                <w:szCs w:val="24"/>
              </w:rPr>
              <w:t>1,040</w:t>
            </w:r>
          </w:p>
        </w:tc>
      </w:tr>
      <w:tr w:rsidR="006F3E1C" w:rsidRPr="006F3E1C" w14:paraId="3C46538C" w14:textId="77777777" w:rsidTr="00D24D1C">
        <w:trPr>
          <w:trHeight w:val="300"/>
          <w:jc w:val="center"/>
        </w:trPr>
        <w:tc>
          <w:tcPr>
            <w:tcW w:w="2880" w:type="dxa"/>
            <w:tcBorders>
              <w:top w:val="nil"/>
              <w:left w:val="nil"/>
              <w:bottom w:val="nil"/>
              <w:right w:val="nil"/>
            </w:tcBorders>
            <w:shd w:val="clear" w:color="auto" w:fill="auto"/>
            <w:noWrap/>
            <w:vAlign w:val="center"/>
            <w:hideMark/>
          </w:tcPr>
          <w:p w14:paraId="19E6351E" w14:textId="77777777" w:rsidR="006F3E1C" w:rsidRPr="006F3E1C" w:rsidRDefault="006F3E1C" w:rsidP="00832626">
            <w:pPr>
              <w:rPr>
                <w:szCs w:val="24"/>
              </w:rPr>
            </w:pPr>
            <w:r w:rsidRPr="006F3E1C">
              <w:rPr>
                <w:szCs w:val="24"/>
              </w:rPr>
              <w:t>Interest rate risk (X2)</w:t>
            </w:r>
          </w:p>
        </w:tc>
        <w:tc>
          <w:tcPr>
            <w:tcW w:w="1920" w:type="dxa"/>
            <w:tcBorders>
              <w:top w:val="nil"/>
              <w:left w:val="nil"/>
              <w:bottom w:val="nil"/>
              <w:right w:val="nil"/>
            </w:tcBorders>
            <w:shd w:val="clear" w:color="auto" w:fill="auto"/>
            <w:noWrap/>
            <w:vAlign w:val="center"/>
            <w:hideMark/>
          </w:tcPr>
          <w:p w14:paraId="2F9071CD" w14:textId="77777777" w:rsidR="006F3E1C" w:rsidRPr="006F3E1C" w:rsidRDefault="006F3E1C" w:rsidP="00832626">
            <w:pPr>
              <w:jc w:val="right"/>
              <w:rPr>
                <w:szCs w:val="24"/>
              </w:rPr>
            </w:pPr>
            <w:r w:rsidRPr="006F3E1C">
              <w:rPr>
                <w:szCs w:val="24"/>
              </w:rPr>
              <w:t>0.991</w:t>
            </w:r>
          </w:p>
        </w:tc>
        <w:tc>
          <w:tcPr>
            <w:tcW w:w="960" w:type="dxa"/>
            <w:tcBorders>
              <w:top w:val="nil"/>
              <w:left w:val="nil"/>
              <w:bottom w:val="nil"/>
              <w:right w:val="nil"/>
            </w:tcBorders>
            <w:shd w:val="clear" w:color="auto" w:fill="auto"/>
            <w:noWrap/>
            <w:vAlign w:val="center"/>
            <w:hideMark/>
          </w:tcPr>
          <w:p w14:paraId="536A9E43" w14:textId="77777777" w:rsidR="006F3E1C" w:rsidRPr="006F3E1C" w:rsidRDefault="006F3E1C" w:rsidP="00832626">
            <w:pPr>
              <w:jc w:val="right"/>
              <w:rPr>
                <w:szCs w:val="24"/>
              </w:rPr>
            </w:pPr>
            <w:r w:rsidRPr="006F3E1C">
              <w:rPr>
                <w:szCs w:val="24"/>
              </w:rPr>
              <w:t>1,009</w:t>
            </w:r>
          </w:p>
        </w:tc>
      </w:tr>
      <w:tr w:rsidR="006F3E1C" w:rsidRPr="006F3E1C" w14:paraId="06DE491F" w14:textId="77777777" w:rsidTr="00D24D1C">
        <w:trPr>
          <w:trHeight w:val="300"/>
          <w:jc w:val="center"/>
        </w:trPr>
        <w:tc>
          <w:tcPr>
            <w:tcW w:w="2880" w:type="dxa"/>
            <w:tcBorders>
              <w:top w:val="nil"/>
              <w:left w:val="nil"/>
              <w:bottom w:val="nil"/>
              <w:right w:val="nil"/>
            </w:tcBorders>
            <w:shd w:val="clear" w:color="auto" w:fill="auto"/>
            <w:noWrap/>
            <w:vAlign w:val="center"/>
            <w:hideMark/>
          </w:tcPr>
          <w:p w14:paraId="70FFE837" w14:textId="77777777" w:rsidR="006F3E1C" w:rsidRPr="006F3E1C" w:rsidRDefault="006F3E1C" w:rsidP="00832626">
            <w:pPr>
              <w:rPr>
                <w:szCs w:val="24"/>
              </w:rPr>
            </w:pPr>
            <w:r w:rsidRPr="006F3E1C">
              <w:rPr>
                <w:szCs w:val="24"/>
              </w:rPr>
              <w:t>Financial Distress (X3)</w:t>
            </w:r>
          </w:p>
        </w:tc>
        <w:tc>
          <w:tcPr>
            <w:tcW w:w="1920" w:type="dxa"/>
            <w:tcBorders>
              <w:top w:val="nil"/>
              <w:left w:val="nil"/>
              <w:bottom w:val="nil"/>
              <w:right w:val="nil"/>
            </w:tcBorders>
            <w:shd w:val="clear" w:color="auto" w:fill="auto"/>
            <w:noWrap/>
            <w:vAlign w:val="center"/>
            <w:hideMark/>
          </w:tcPr>
          <w:p w14:paraId="247C7553" w14:textId="77777777" w:rsidR="006F3E1C" w:rsidRPr="006F3E1C" w:rsidRDefault="006F3E1C" w:rsidP="00832626">
            <w:pPr>
              <w:jc w:val="right"/>
              <w:rPr>
                <w:szCs w:val="24"/>
              </w:rPr>
            </w:pPr>
            <w:r w:rsidRPr="006F3E1C">
              <w:rPr>
                <w:szCs w:val="24"/>
              </w:rPr>
              <w:t>0.638</w:t>
            </w:r>
          </w:p>
        </w:tc>
        <w:tc>
          <w:tcPr>
            <w:tcW w:w="960" w:type="dxa"/>
            <w:tcBorders>
              <w:top w:val="nil"/>
              <w:left w:val="nil"/>
              <w:bottom w:val="nil"/>
              <w:right w:val="nil"/>
            </w:tcBorders>
            <w:shd w:val="clear" w:color="auto" w:fill="auto"/>
            <w:noWrap/>
            <w:vAlign w:val="center"/>
            <w:hideMark/>
          </w:tcPr>
          <w:p w14:paraId="55ADC7FE" w14:textId="77777777" w:rsidR="006F3E1C" w:rsidRPr="006F3E1C" w:rsidRDefault="006F3E1C" w:rsidP="00832626">
            <w:pPr>
              <w:jc w:val="right"/>
              <w:rPr>
                <w:szCs w:val="24"/>
              </w:rPr>
            </w:pPr>
            <w:r w:rsidRPr="006F3E1C">
              <w:rPr>
                <w:szCs w:val="24"/>
              </w:rPr>
              <w:t>1,568</w:t>
            </w:r>
          </w:p>
        </w:tc>
      </w:tr>
      <w:tr w:rsidR="006F3E1C" w:rsidRPr="006F3E1C" w14:paraId="76FCF5F8" w14:textId="77777777" w:rsidTr="00D24D1C">
        <w:trPr>
          <w:trHeight w:val="300"/>
          <w:jc w:val="center"/>
        </w:trPr>
        <w:tc>
          <w:tcPr>
            <w:tcW w:w="2880" w:type="dxa"/>
            <w:tcBorders>
              <w:top w:val="nil"/>
              <w:left w:val="nil"/>
              <w:bottom w:val="single" w:sz="4" w:space="0" w:color="auto"/>
              <w:right w:val="nil"/>
            </w:tcBorders>
            <w:shd w:val="clear" w:color="auto" w:fill="auto"/>
            <w:noWrap/>
            <w:vAlign w:val="center"/>
            <w:hideMark/>
          </w:tcPr>
          <w:p w14:paraId="18A7E8AE" w14:textId="77777777" w:rsidR="006F3E1C" w:rsidRPr="006F3E1C" w:rsidRDefault="006F3E1C" w:rsidP="00832626">
            <w:pPr>
              <w:rPr>
                <w:szCs w:val="24"/>
              </w:rPr>
            </w:pPr>
            <w:r w:rsidRPr="006F3E1C">
              <w:rPr>
                <w:szCs w:val="24"/>
              </w:rPr>
              <w:t>ROA (M)</w:t>
            </w:r>
          </w:p>
        </w:tc>
        <w:tc>
          <w:tcPr>
            <w:tcW w:w="1920" w:type="dxa"/>
            <w:tcBorders>
              <w:top w:val="nil"/>
              <w:left w:val="nil"/>
              <w:bottom w:val="single" w:sz="4" w:space="0" w:color="auto"/>
              <w:right w:val="nil"/>
            </w:tcBorders>
            <w:shd w:val="clear" w:color="auto" w:fill="auto"/>
            <w:noWrap/>
            <w:vAlign w:val="center"/>
            <w:hideMark/>
          </w:tcPr>
          <w:p w14:paraId="7C961A72" w14:textId="77777777" w:rsidR="006F3E1C" w:rsidRPr="006F3E1C" w:rsidRDefault="006F3E1C" w:rsidP="00832626">
            <w:pPr>
              <w:jc w:val="right"/>
              <w:rPr>
                <w:szCs w:val="24"/>
              </w:rPr>
            </w:pPr>
            <w:r w:rsidRPr="006F3E1C">
              <w:rPr>
                <w:szCs w:val="24"/>
              </w:rPr>
              <w:t>0.655</w:t>
            </w:r>
          </w:p>
        </w:tc>
        <w:tc>
          <w:tcPr>
            <w:tcW w:w="960" w:type="dxa"/>
            <w:tcBorders>
              <w:top w:val="nil"/>
              <w:left w:val="nil"/>
              <w:bottom w:val="single" w:sz="4" w:space="0" w:color="auto"/>
              <w:right w:val="nil"/>
            </w:tcBorders>
            <w:shd w:val="clear" w:color="auto" w:fill="auto"/>
            <w:noWrap/>
            <w:vAlign w:val="center"/>
            <w:hideMark/>
          </w:tcPr>
          <w:p w14:paraId="2581934F" w14:textId="77777777" w:rsidR="006F3E1C" w:rsidRPr="006F3E1C" w:rsidRDefault="006F3E1C" w:rsidP="00832626">
            <w:pPr>
              <w:jc w:val="right"/>
              <w:rPr>
                <w:szCs w:val="24"/>
              </w:rPr>
            </w:pPr>
            <w:r w:rsidRPr="006F3E1C">
              <w:rPr>
                <w:szCs w:val="24"/>
              </w:rPr>
              <w:t>1,527</w:t>
            </w:r>
          </w:p>
        </w:tc>
      </w:tr>
    </w:tbl>
    <w:p w14:paraId="617514BE" w14:textId="77777777" w:rsidR="006F3E1C" w:rsidRPr="006F3E1C" w:rsidRDefault="006F3E1C" w:rsidP="006F3E1C">
      <w:pPr>
        <w:ind w:firstLine="720"/>
        <w:jc w:val="both"/>
        <w:rPr>
          <w:szCs w:val="24"/>
          <w:lang w:val="en-US"/>
        </w:rPr>
      </w:pPr>
    </w:p>
    <w:p w14:paraId="63A99B5B" w14:textId="77777777" w:rsidR="006F3E1C" w:rsidRPr="006F3E1C" w:rsidRDefault="006F3E1C" w:rsidP="006F3E1C">
      <w:pPr>
        <w:ind w:firstLine="720"/>
        <w:jc w:val="both"/>
        <w:rPr>
          <w:szCs w:val="24"/>
          <w:lang w:val="en-US"/>
        </w:rPr>
      </w:pPr>
      <w:r w:rsidRPr="006F3E1C">
        <w:rPr>
          <w:szCs w:val="24"/>
          <w:lang w:val="en-US"/>
        </w:rPr>
        <w:t>Based on table 2, the results of the multicollinearity test show that the Tolerance value for all independent variables (X1, The VIF values for all independent variables are also less than 10, namely 1.040, 1.009, 1.568, and 1.527. Based on the Tolerance and VIF values, it can be concluded that there is no significant multicollinearity between the independent variables in this regression model.</w:t>
      </w:r>
    </w:p>
    <w:p w14:paraId="7CB9E632" w14:textId="77777777" w:rsidR="006F3E1C" w:rsidRPr="006F3E1C" w:rsidRDefault="006F3E1C" w:rsidP="00D24D1C">
      <w:pPr>
        <w:jc w:val="center"/>
        <w:rPr>
          <w:szCs w:val="24"/>
          <w:lang w:val="en-US"/>
        </w:rPr>
      </w:pPr>
      <w:r w:rsidRPr="006F3E1C">
        <w:rPr>
          <w:szCs w:val="24"/>
          <w:lang w:val="en-US"/>
        </w:rPr>
        <w:t>Table 3. Autocorrelation Test</w:t>
      </w:r>
    </w:p>
    <w:tbl>
      <w:tblPr>
        <w:tblW w:w="3840" w:type="dxa"/>
        <w:jc w:val="center"/>
        <w:tblLook w:val="04A0" w:firstRow="1" w:lastRow="0" w:firstColumn="1" w:lastColumn="0" w:noHBand="0" w:noVBand="1"/>
      </w:tblPr>
      <w:tblGrid>
        <w:gridCol w:w="1003"/>
        <w:gridCol w:w="960"/>
        <w:gridCol w:w="960"/>
        <w:gridCol w:w="1669"/>
      </w:tblGrid>
      <w:tr w:rsidR="006F3E1C" w:rsidRPr="006F3E1C" w14:paraId="0E632599" w14:textId="77777777" w:rsidTr="00D24D1C">
        <w:trPr>
          <w:trHeight w:val="300"/>
          <w:jc w:val="center"/>
        </w:trPr>
        <w:tc>
          <w:tcPr>
            <w:tcW w:w="960" w:type="dxa"/>
            <w:tcBorders>
              <w:top w:val="single" w:sz="4" w:space="0" w:color="auto"/>
              <w:left w:val="nil"/>
              <w:bottom w:val="single" w:sz="4" w:space="0" w:color="auto"/>
              <w:right w:val="nil"/>
            </w:tcBorders>
            <w:shd w:val="clear" w:color="auto" w:fill="auto"/>
            <w:noWrap/>
            <w:vAlign w:val="center"/>
            <w:hideMark/>
          </w:tcPr>
          <w:p w14:paraId="02C0FAD6" w14:textId="77777777" w:rsidR="006F3E1C" w:rsidRPr="006F3E1C" w:rsidRDefault="006F3E1C" w:rsidP="00D24D1C">
            <w:pPr>
              <w:jc w:val="center"/>
              <w:rPr>
                <w:b/>
                <w:bCs/>
                <w:color w:val="000000"/>
                <w:szCs w:val="24"/>
              </w:rPr>
            </w:pPr>
            <w:r w:rsidRPr="006F3E1C">
              <w:rPr>
                <w:b/>
                <w:bCs/>
                <w:color w:val="000000"/>
                <w:szCs w:val="24"/>
              </w:rPr>
              <w:t>Durbin Watson</w:t>
            </w:r>
          </w:p>
        </w:tc>
        <w:tc>
          <w:tcPr>
            <w:tcW w:w="960" w:type="dxa"/>
            <w:tcBorders>
              <w:top w:val="single" w:sz="4" w:space="0" w:color="auto"/>
              <w:left w:val="nil"/>
              <w:bottom w:val="single" w:sz="4" w:space="0" w:color="auto"/>
              <w:right w:val="nil"/>
            </w:tcBorders>
            <w:shd w:val="clear" w:color="auto" w:fill="auto"/>
            <w:noWrap/>
            <w:vAlign w:val="center"/>
            <w:hideMark/>
          </w:tcPr>
          <w:p w14:paraId="4063A228" w14:textId="77777777" w:rsidR="006F3E1C" w:rsidRPr="006F3E1C" w:rsidRDefault="006F3E1C" w:rsidP="00D24D1C">
            <w:pPr>
              <w:jc w:val="center"/>
              <w:rPr>
                <w:b/>
                <w:bCs/>
                <w:color w:val="000000"/>
                <w:szCs w:val="24"/>
              </w:rPr>
            </w:pPr>
            <w:r w:rsidRPr="006F3E1C">
              <w:rPr>
                <w:b/>
                <w:bCs/>
                <w:color w:val="000000"/>
                <w:szCs w:val="24"/>
              </w:rPr>
              <w:t>dU</w:t>
            </w:r>
          </w:p>
        </w:tc>
        <w:tc>
          <w:tcPr>
            <w:tcW w:w="960" w:type="dxa"/>
            <w:tcBorders>
              <w:top w:val="single" w:sz="4" w:space="0" w:color="auto"/>
              <w:left w:val="nil"/>
              <w:bottom w:val="single" w:sz="4" w:space="0" w:color="auto"/>
              <w:right w:val="nil"/>
            </w:tcBorders>
            <w:shd w:val="clear" w:color="auto" w:fill="auto"/>
            <w:noWrap/>
            <w:vAlign w:val="center"/>
            <w:hideMark/>
          </w:tcPr>
          <w:p w14:paraId="4950BE23" w14:textId="77777777" w:rsidR="006F3E1C" w:rsidRPr="006F3E1C" w:rsidRDefault="006F3E1C" w:rsidP="00D24D1C">
            <w:pPr>
              <w:jc w:val="center"/>
              <w:rPr>
                <w:b/>
                <w:bCs/>
                <w:color w:val="000000"/>
                <w:szCs w:val="24"/>
              </w:rPr>
            </w:pPr>
            <w:r w:rsidRPr="006F3E1C">
              <w:rPr>
                <w:b/>
                <w:bCs/>
                <w:color w:val="000000"/>
                <w:szCs w:val="24"/>
              </w:rPr>
              <w:t>4-dU</w:t>
            </w:r>
          </w:p>
        </w:tc>
        <w:tc>
          <w:tcPr>
            <w:tcW w:w="960" w:type="dxa"/>
            <w:tcBorders>
              <w:top w:val="single" w:sz="4" w:space="0" w:color="auto"/>
              <w:left w:val="nil"/>
              <w:bottom w:val="single" w:sz="4" w:space="0" w:color="auto"/>
              <w:right w:val="nil"/>
            </w:tcBorders>
            <w:shd w:val="clear" w:color="auto" w:fill="auto"/>
            <w:noWrap/>
            <w:vAlign w:val="center"/>
            <w:hideMark/>
          </w:tcPr>
          <w:p w14:paraId="399B1AE2" w14:textId="77777777" w:rsidR="006F3E1C" w:rsidRPr="006F3E1C" w:rsidRDefault="006F3E1C" w:rsidP="00D24D1C">
            <w:pPr>
              <w:jc w:val="center"/>
              <w:rPr>
                <w:b/>
                <w:bCs/>
                <w:color w:val="000000"/>
                <w:szCs w:val="24"/>
              </w:rPr>
            </w:pPr>
            <w:r w:rsidRPr="006F3E1C">
              <w:rPr>
                <w:b/>
                <w:bCs/>
                <w:color w:val="000000"/>
                <w:szCs w:val="24"/>
              </w:rPr>
              <w:t>Information</w:t>
            </w:r>
          </w:p>
        </w:tc>
      </w:tr>
      <w:tr w:rsidR="006F3E1C" w:rsidRPr="006F3E1C" w14:paraId="4D999C8B" w14:textId="77777777" w:rsidTr="00D24D1C">
        <w:trPr>
          <w:trHeight w:val="300"/>
          <w:jc w:val="center"/>
        </w:trPr>
        <w:tc>
          <w:tcPr>
            <w:tcW w:w="960" w:type="dxa"/>
            <w:tcBorders>
              <w:top w:val="nil"/>
              <w:left w:val="nil"/>
              <w:bottom w:val="single" w:sz="4" w:space="0" w:color="auto"/>
              <w:right w:val="nil"/>
            </w:tcBorders>
            <w:shd w:val="clear" w:color="auto" w:fill="auto"/>
            <w:noWrap/>
            <w:vAlign w:val="center"/>
            <w:hideMark/>
          </w:tcPr>
          <w:p w14:paraId="0CA61BBA" w14:textId="77777777" w:rsidR="006F3E1C" w:rsidRPr="006F3E1C" w:rsidRDefault="006F3E1C" w:rsidP="00D24D1C">
            <w:pPr>
              <w:jc w:val="center"/>
              <w:rPr>
                <w:color w:val="000000"/>
                <w:szCs w:val="24"/>
                <w:lang w:val="en-US"/>
              </w:rPr>
            </w:pPr>
            <w:r w:rsidRPr="006F3E1C">
              <w:rPr>
                <w:color w:val="000000"/>
                <w:szCs w:val="24"/>
                <w:lang w:val="en-US"/>
              </w:rPr>
              <w:t>1,962</w:t>
            </w:r>
          </w:p>
        </w:tc>
        <w:tc>
          <w:tcPr>
            <w:tcW w:w="960" w:type="dxa"/>
            <w:tcBorders>
              <w:top w:val="nil"/>
              <w:left w:val="nil"/>
              <w:bottom w:val="single" w:sz="4" w:space="0" w:color="auto"/>
              <w:right w:val="nil"/>
            </w:tcBorders>
            <w:shd w:val="clear" w:color="auto" w:fill="auto"/>
            <w:noWrap/>
            <w:vAlign w:val="center"/>
            <w:hideMark/>
          </w:tcPr>
          <w:p w14:paraId="5B826A70" w14:textId="77777777" w:rsidR="006F3E1C" w:rsidRPr="006F3E1C" w:rsidRDefault="006F3E1C" w:rsidP="00D24D1C">
            <w:pPr>
              <w:jc w:val="center"/>
              <w:rPr>
                <w:color w:val="000000"/>
                <w:szCs w:val="24"/>
                <w:lang w:val="en-US"/>
              </w:rPr>
            </w:pPr>
            <w:r w:rsidRPr="006F3E1C">
              <w:rPr>
                <w:color w:val="000000"/>
                <w:szCs w:val="24"/>
              </w:rPr>
              <w:t xml:space="preserve">1.7 </w:t>
            </w:r>
            <w:r w:rsidRPr="006F3E1C">
              <w:rPr>
                <w:color w:val="000000"/>
                <w:szCs w:val="24"/>
                <w:lang w:val="en-US"/>
              </w:rPr>
              <w:t>181</w:t>
            </w:r>
          </w:p>
        </w:tc>
        <w:tc>
          <w:tcPr>
            <w:tcW w:w="960" w:type="dxa"/>
            <w:tcBorders>
              <w:top w:val="nil"/>
              <w:left w:val="nil"/>
              <w:bottom w:val="single" w:sz="4" w:space="0" w:color="auto"/>
              <w:right w:val="nil"/>
            </w:tcBorders>
            <w:shd w:val="clear" w:color="auto" w:fill="auto"/>
            <w:noWrap/>
            <w:vAlign w:val="center"/>
            <w:hideMark/>
          </w:tcPr>
          <w:p w14:paraId="353A298C" w14:textId="77777777" w:rsidR="006F3E1C" w:rsidRPr="006F3E1C" w:rsidRDefault="006F3E1C" w:rsidP="00D24D1C">
            <w:pPr>
              <w:jc w:val="center"/>
              <w:rPr>
                <w:color w:val="000000"/>
                <w:szCs w:val="24"/>
                <w:lang w:val="en-US"/>
              </w:rPr>
            </w:pPr>
            <w:r w:rsidRPr="006F3E1C">
              <w:rPr>
                <w:color w:val="000000"/>
                <w:szCs w:val="24"/>
                <w:lang w:val="en-US"/>
              </w:rPr>
              <w:t>2,281</w:t>
            </w:r>
          </w:p>
        </w:tc>
        <w:tc>
          <w:tcPr>
            <w:tcW w:w="960" w:type="dxa"/>
            <w:tcBorders>
              <w:top w:val="nil"/>
              <w:left w:val="nil"/>
              <w:bottom w:val="single" w:sz="4" w:space="0" w:color="auto"/>
              <w:right w:val="nil"/>
            </w:tcBorders>
            <w:shd w:val="clear" w:color="auto" w:fill="auto"/>
            <w:noWrap/>
            <w:vAlign w:val="center"/>
            <w:hideMark/>
          </w:tcPr>
          <w:p w14:paraId="1358B80E" w14:textId="77777777" w:rsidR="006F3E1C" w:rsidRPr="006F3E1C" w:rsidRDefault="006F3E1C" w:rsidP="00D24D1C">
            <w:pPr>
              <w:jc w:val="center"/>
              <w:rPr>
                <w:color w:val="000000"/>
                <w:szCs w:val="24"/>
              </w:rPr>
            </w:pPr>
            <w:r w:rsidRPr="006F3E1C">
              <w:rPr>
                <w:color w:val="000000"/>
                <w:szCs w:val="24"/>
              </w:rPr>
              <w:t>There is no autocorrelation</w:t>
            </w:r>
          </w:p>
        </w:tc>
      </w:tr>
    </w:tbl>
    <w:p w14:paraId="31F6CFA3" w14:textId="77777777" w:rsidR="006F3E1C" w:rsidRPr="006F3E1C" w:rsidRDefault="006F3E1C" w:rsidP="006F3E1C">
      <w:pPr>
        <w:ind w:firstLine="720"/>
        <w:jc w:val="both"/>
        <w:rPr>
          <w:szCs w:val="24"/>
          <w:lang w:val="en-US"/>
        </w:rPr>
      </w:pPr>
      <w:r w:rsidRPr="006F3E1C">
        <w:rPr>
          <w:szCs w:val="24"/>
          <w:lang w:val="en-US"/>
        </w:rPr>
        <w:t>The results of the autocorrelation test using Durbin Watson (DW) show a DW value of 1.962. This value is between dU (1.7181) and 4-dU (2.281), which indicates that there is no autocorrelation in the regression model used. Thus, this model meets the assumption of no autocorrelation</w:t>
      </w:r>
    </w:p>
    <w:p w14:paraId="64886CB7" w14:textId="77777777" w:rsidR="006F3E1C" w:rsidRPr="006F3E1C" w:rsidRDefault="006F3E1C" w:rsidP="006F3E1C">
      <w:pPr>
        <w:autoSpaceDE w:val="0"/>
        <w:autoSpaceDN w:val="0"/>
        <w:adjustRightInd w:val="0"/>
        <w:jc w:val="center"/>
        <w:rPr>
          <w:szCs w:val="24"/>
        </w:rPr>
      </w:pPr>
      <w:r w:rsidRPr="006F3E1C">
        <w:rPr>
          <w:noProof/>
          <w:szCs w:val="24"/>
          <w:lang w:val="id-ID"/>
        </w:rPr>
        <w:drawing>
          <wp:inline distT="0" distB="0" distL="0" distR="0" wp14:anchorId="71DE78D4" wp14:editId="7ECE4DA1">
            <wp:extent cx="2655418" cy="268371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22263" r="19560"/>
                    <a:stretch/>
                  </pic:blipFill>
                  <pic:spPr bwMode="auto">
                    <a:xfrm>
                      <a:off x="0" y="0"/>
                      <a:ext cx="2669291" cy="2697733"/>
                    </a:xfrm>
                    <a:prstGeom prst="rect">
                      <a:avLst/>
                    </a:prstGeom>
                    <a:noFill/>
                    <a:ln>
                      <a:noFill/>
                    </a:ln>
                    <a:extLst>
                      <a:ext uri="{53640926-AAD7-44D8-BBD7-CCE9431645EC}">
                        <a14:shadowObscured xmlns:a14="http://schemas.microsoft.com/office/drawing/2010/main"/>
                      </a:ext>
                    </a:extLst>
                  </pic:spPr>
                </pic:pic>
              </a:graphicData>
            </a:graphic>
          </wp:inline>
        </w:drawing>
      </w:r>
    </w:p>
    <w:p w14:paraId="60BF93C7" w14:textId="77777777" w:rsidR="006F3E1C" w:rsidRPr="006F3E1C" w:rsidRDefault="006F3E1C" w:rsidP="006F3E1C">
      <w:pPr>
        <w:ind w:firstLine="720"/>
        <w:jc w:val="center"/>
        <w:rPr>
          <w:szCs w:val="24"/>
          <w:lang w:val="en-US"/>
        </w:rPr>
      </w:pPr>
      <w:r w:rsidRPr="006F3E1C">
        <w:rPr>
          <w:szCs w:val="24"/>
          <w:lang w:val="en-US"/>
        </w:rPr>
        <w:t>Figure 2. Normality Test</w:t>
      </w:r>
    </w:p>
    <w:p w14:paraId="30951754" w14:textId="77777777" w:rsidR="006F3E1C" w:rsidRPr="006F3E1C" w:rsidRDefault="006F3E1C" w:rsidP="006F3E1C">
      <w:pPr>
        <w:ind w:firstLine="720"/>
        <w:jc w:val="both"/>
        <w:rPr>
          <w:szCs w:val="24"/>
          <w:lang w:val="en-US"/>
        </w:rPr>
      </w:pPr>
      <w:r w:rsidRPr="006F3E1C">
        <w:rPr>
          <w:szCs w:val="24"/>
          <w:lang w:val="en-US"/>
        </w:rPr>
        <w:lastRenderedPageBreak/>
        <w:t>The normality test was carried out using the PP Plot graph. The results show that the observation points follow a diagonal line, which indicates that the residual distribution follows a normal distribution. This indicates that the normality assumption is met in this regression model.</w:t>
      </w:r>
    </w:p>
    <w:p w14:paraId="62ACC9C8" w14:textId="77777777" w:rsidR="006F3E1C" w:rsidRPr="006F3E1C" w:rsidRDefault="006F3E1C" w:rsidP="006F3E1C">
      <w:pPr>
        <w:autoSpaceDE w:val="0"/>
        <w:autoSpaceDN w:val="0"/>
        <w:adjustRightInd w:val="0"/>
        <w:jc w:val="center"/>
        <w:rPr>
          <w:szCs w:val="24"/>
        </w:rPr>
      </w:pPr>
      <w:r w:rsidRPr="006F3E1C">
        <w:rPr>
          <w:noProof/>
          <w:szCs w:val="24"/>
          <w:lang w:val="id-ID"/>
        </w:rPr>
        <w:drawing>
          <wp:inline distT="0" distB="0" distL="0" distR="0" wp14:anchorId="4B8519FD" wp14:editId="4C42EC88">
            <wp:extent cx="4498848" cy="2645223"/>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9874" cy="2651706"/>
                    </a:xfrm>
                    <a:prstGeom prst="rect">
                      <a:avLst/>
                    </a:prstGeom>
                    <a:noFill/>
                    <a:ln>
                      <a:noFill/>
                    </a:ln>
                  </pic:spPr>
                </pic:pic>
              </a:graphicData>
            </a:graphic>
          </wp:inline>
        </w:drawing>
      </w:r>
    </w:p>
    <w:p w14:paraId="19C5D673" w14:textId="77777777" w:rsidR="006F3E1C" w:rsidRPr="006F3E1C" w:rsidRDefault="006F3E1C" w:rsidP="006F3E1C">
      <w:pPr>
        <w:jc w:val="center"/>
        <w:rPr>
          <w:szCs w:val="24"/>
          <w:lang w:val="en-US"/>
        </w:rPr>
      </w:pPr>
      <w:r w:rsidRPr="006F3E1C">
        <w:rPr>
          <w:szCs w:val="24"/>
          <w:lang w:val="en-US"/>
        </w:rPr>
        <w:t>Figure 3. Heteroscedasticity test</w:t>
      </w:r>
    </w:p>
    <w:p w14:paraId="55C0B69E" w14:textId="77777777" w:rsidR="006F3E1C" w:rsidRPr="006F3E1C" w:rsidRDefault="006F3E1C" w:rsidP="006F3E1C">
      <w:pPr>
        <w:ind w:firstLine="720"/>
        <w:jc w:val="both"/>
        <w:rPr>
          <w:szCs w:val="24"/>
          <w:lang w:val="en-US"/>
        </w:rPr>
      </w:pPr>
      <w:r w:rsidRPr="006F3E1C">
        <w:rPr>
          <w:szCs w:val="24"/>
          <w:lang w:val="en-US"/>
        </w:rPr>
        <w:t>The heteroscedasticity test was carried out using a scatter plot of standardized predictive value versus regression studentized residual. The results show that the observation points are distributed randomly, which indicates that there is no particular pattern. This means that the assumption of homoscedasticity is met, so that the residual variance is constant over the entire range of predicted values. By fulfilling all classical assumption tests (multicollinearity, autocorrelation, normality and heteroscedasticity), the regression model used can be considered valid and meets the required analysis criteria.</w:t>
      </w:r>
    </w:p>
    <w:p w14:paraId="5D2AB81E" w14:textId="77777777" w:rsidR="006F3E1C" w:rsidRPr="006F3E1C" w:rsidRDefault="006F3E1C" w:rsidP="006F3E1C">
      <w:pPr>
        <w:ind w:firstLine="720"/>
        <w:jc w:val="both"/>
        <w:rPr>
          <w:szCs w:val="24"/>
          <w:lang w:val="en-US"/>
        </w:rPr>
      </w:pPr>
    </w:p>
    <w:p w14:paraId="4AE6463E" w14:textId="77777777" w:rsidR="006F3E1C" w:rsidRPr="006F3E1C" w:rsidRDefault="006F3E1C" w:rsidP="006F3E1C">
      <w:pPr>
        <w:jc w:val="both"/>
        <w:rPr>
          <w:b/>
          <w:szCs w:val="24"/>
          <w:lang w:val="en-US"/>
        </w:rPr>
      </w:pPr>
      <w:r w:rsidRPr="006F3E1C">
        <w:rPr>
          <w:b/>
          <w:szCs w:val="24"/>
          <w:lang w:val="en-US"/>
        </w:rPr>
        <w:t>Hypothesis test</w:t>
      </w:r>
    </w:p>
    <w:p w14:paraId="7F218F36" w14:textId="77777777" w:rsidR="006F3E1C" w:rsidRPr="006F3E1C" w:rsidRDefault="006F3E1C" w:rsidP="006F3E1C">
      <w:pPr>
        <w:jc w:val="both"/>
        <w:rPr>
          <w:szCs w:val="24"/>
          <w:lang w:val="en-US"/>
        </w:rPr>
      </w:pPr>
      <w:r w:rsidRPr="006F3E1C">
        <w:rPr>
          <w:szCs w:val="24"/>
          <w:lang w:val="en-US"/>
        </w:rPr>
        <w:t>Table 4. Hypothesis testing results</w:t>
      </w:r>
    </w:p>
    <w:tbl>
      <w:tblPr>
        <w:tblW w:w="0" w:type="auto"/>
        <w:tblLook w:val="04A0" w:firstRow="1" w:lastRow="0" w:firstColumn="1" w:lastColumn="0" w:noHBand="0" w:noVBand="1"/>
      </w:tblPr>
      <w:tblGrid>
        <w:gridCol w:w="2757"/>
        <w:gridCol w:w="1208"/>
        <w:gridCol w:w="848"/>
        <w:gridCol w:w="1118"/>
        <w:gridCol w:w="848"/>
        <w:gridCol w:w="1207"/>
        <w:gridCol w:w="848"/>
      </w:tblGrid>
      <w:tr w:rsidR="006F3E1C" w:rsidRPr="006F3E1C" w14:paraId="6E5BC708" w14:textId="77777777" w:rsidTr="00832626">
        <w:trPr>
          <w:trHeight w:val="345"/>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458010E3" w14:textId="77777777" w:rsidR="006F3E1C" w:rsidRPr="006F3E1C" w:rsidRDefault="006F3E1C" w:rsidP="00832626">
            <w:pPr>
              <w:jc w:val="center"/>
              <w:rPr>
                <w:b/>
                <w:bCs/>
                <w:color w:val="000000"/>
                <w:szCs w:val="24"/>
              </w:rPr>
            </w:pPr>
            <w:r w:rsidRPr="006F3E1C">
              <w:rPr>
                <w:b/>
                <w:bCs/>
                <w:color w:val="000000"/>
                <w:szCs w:val="24"/>
              </w:rPr>
              <w:t>Variable</w:t>
            </w:r>
          </w:p>
        </w:tc>
        <w:tc>
          <w:tcPr>
            <w:tcW w:w="0" w:type="auto"/>
            <w:gridSpan w:val="2"/>
            <w:tcBorders>
              <w:top w:val="single" w:sz="4" w:space="0" w:color="auto"/>
              <w:left w:val="nil"/>
              <w:bottom w:val="nil"/>
              <w:right w:val="nil"/>
            </w:tcBorders>
            <w:shd w:val="clear" w:color="auto" w:fill="auto"/>
            <w:noWrap/>
            <w:vAlign w:val="center"/>
            <w:hideMark/>
          </w:tcPr>
          <w:p w14:paraId="5D14C17C" w14:textId="77777777" w:rsidR="006F3E1C" w:rsidRPr="006F3E1C" w:rsidRDefault="006F3E1C" w:rsidP="00832626">
            <w:pPr>
              <w:jc w:val="center"/>
              <w:rPr>
                <w:b/>
                <w:bCs/>
                <w:color w:val="000000"/>
                <w:szCs w:val="24"/>
              </w:rPr>
            </w:pPr>
            <w:r w:rsidRPr="006F3E1C">
              <w:rPr>
                <w:b/>
                <w:bCs/>
                <w:color w:val="000000"/>
                <w:szCs w:val="24"/>
              </w:rPr>
              <w:t>Model 1</w:t>
            </w:r>
          </w:p>
        </w:tc>
        <w:tc>
          <w:tcPr>
            <w:tcW w:w="0" w:type="auto"/>
            <w:gridSpan w:val="2"/>
            <w:tcBorders>
              <w:top w:val="single" w:sz="4" w:space="0" w:color="auto"/>
              <w:left w:val="nil"/>
              <w:bottom w:val="nil"/>
              <w:right w:val="nil"/>
            </w:tcBorders>
            <w:shd w:val="clear" w:color="auto" w:fill="auto"/>
            <w:noWrap/>
            <w:vAlign w:val="center"/>
            <w:hideMark/>
          </w:tcPr>
          <w:p w14:paraId="004F96E8" w14:textId="77777777" w:rsidR="006F3E1C" w:rsidRPr="006F3E1C" w:rsidRDefault="006F3E1C" w:rsidP="00832626">
            <w:pPr>
              <w:jc w:val="center"/>
              <w:rPr>
                <w:b/>
                <w:bCs/>
                <w:color w:val="000000"/>
                <w:szCs w:val="24"/>
              </w:rPr>
            </w:pPr>
            <w:r w:rsidRPr="006F3E1C">
              <w:rPr>
                <w:b/>
                <w:bCs/>
                <w:color w:val="000000"/>
                <w:szCs w:val="24"/>
              </w:rPr>
              <w:t>Model 2</w:t>
            </w:r>
          </w:p>
        </w:tc>
        <w:tc>
          <w:tcPr>
            <w:tcW w:w="0" w:type="auto"/>
            <w:gridSpan w:val="2"/>
            <w:tcBorders>
              <w:top w:val="single" w:sz="4" w:space="0" w:color="auto"/>
              <w:left w:val="nil"/>
              <w:bottom w:val="nil"/>
              <w:right w:val="nil"/>
            </w:tcBorders>
            <w:shd w:val="clear" w:color="auto" w:fill="auto"/>
            <w:noWrap/>
            <w:vAlign w:val="center"/>
            <w:hideMark/>
          </w:tcPr>
          <w:p w14:paraId="085CE221" w14:textId="77777777" w:rsidR="006F3E1C" w:rsidRPr="006F3E1C" w:rsidRDefault="006F3E1C" w:rsidP="00832626">
            <w:pPr>
              <w:jc w:val="center"/>
              <w:rPr>
                <w:b/>
                <w:bCs/>
                <w:color w:val="000000"/>
                <w:szCs w:val="24"/>
              </w:rPr>
            </w:pPr>
            <w:r w:rsidRPr="006F3E1C">
              <w:rPr>
                <w:b/>
                <w:bCs/>
                <w:color w:val="000000"/>
                <w:szCs w:val="24"/>
              </w:rPr>
              <w:t>Model 3</w:t>
            </w:r>
          </w:p>
        </w:tc>
      </w:tr>
      <w:tr w:rsidR="006F3E1C" w:rsidRPr="006F3E1C" w14:paraId="6A74130F" w14:textId="77777777" w:rsidTr="00832626">
        <w:trPr>
          <w:trHeight w:val="300"/>
        </w:trPr>
        <w:tc>
          <w:tcPr>
            <w:tcW w:w="0" w:type="auto"/>
            <w:vMerge/>
            <w:tcBorders>
              <w:top w:val="single" w:sz="4" w:space="0" w:color="auto"/>
              <w:left w:val="nil"/>
              <w:bottom w:val="single" w:sz="4" w:space="0" w:color="000000"/>
              <w:right w:val="nil"/>
            </w:tcBorders>
            <w:vAlign w:val="center"/>
            <w:hideMark/>
          </w:tcPr>
          <w:p w14:paraId="51EF6B37" w14:textId="77777777" w:rsidR="006F3E1C" w:rsidRPr="006F3E1C" w:rsidRDefault="006F3E1C" w:rsidP="00832626">
            <w:pPr>
              <w:rPr>
                <w:b/>
                <w:bCs/>
                <w:color w:val="000000"/>
                <w:szCs w:val="24"/>
              </w:rPr>
            </w:pPr>
          </w:p>
        </w:tc>
        <w:tc>
          <w:tcPr>
            <w:tcW w:w="0" w:type="auto"/>
            <w:tcBorders>
              <w:top w:val="nil"/>
              <w:left w:val="nil"/>
              <w:bottom w:val="single" w:sz="4" w:space="0" w:color="auto"/>
              <w:right w:val="nil"/>
            </w:tcBorders>
            <w:shd w:val="clear" w:color="auto" w:fill="auto"/>
            <w:noWrap/>
            <w:vAlign w:val="center"/>
            <w:hideMark/>
          </w:tcPr>
          <w:p w14:paraId="68F10E7F" w14:textId="77777777" w:rsidR="006F3E1C" w:rsidRPr="006F3E1C" w:rsidRDefault="006F3E1C" w:rsidP="00832626">
            <w:pPr>
              <w:jc w:val="center"/>
              <w:rPr>
                <w:b/>
                <w:bCs/>
                <w:color w:val="000000"/>
                <w:szCs w:val="24"/>
              </w:rPr>
            </w:pPr>
            <w:r w:rsidRPr="006F3E1C">
              <w:rPr>
                <w:b/>
                <w:bCs/>
                <w:color w:val="000000"/>
                <w:szCs w:val="24"/>
              </w:rPr>
              <w:t>Coef.</w:t>
            </w:r>
          </w:p>
        </w:tc>
        <w:tc>
          <w:tcPr>
            <w:tcW w:w="0" w:type="auto"/>
            <w:tcBorders>
              <w:top w:val="nil"/>
              <w:left w:val="nil"/>
              <w:bottom w:val="single" w:sz="4" w:space="0" w:color="auto"/>
              <w:right w:val="nil"/>
            </w:tcBorders>
            <w:shd w:val="clear" w:color="auto" w:fill="auto"/>
            <w:noWrap/>
            <w:vAlign w:val="center"/>
            <w:hideMark/>
          </w:tcPr>
          <w:p w14:paraId="02C5FF19" w14:textId="77777777" w:rsidR="006F3E1C" w:rsidRPr="006F3E1C" w:rsidRDefault="006F3E1C" w:rsidP="00832626">
            <w:pPr>
              <w:jc w:val="center"/>
              <w:rPr>
                <w:b/>
                <w:bCs/>
                <w:color w:val="000000"/>
                <w:szCs w:val="24"/>
              </w:rPr>
            </w:pPr>
            <w:r w:rsidRPr="006F3E1C">
              <w:rPr>
                <w:b/>
                <w:bCs/>
                <w:color w:val="000000"/>
                <w:szCs w:val="24"/>
              </w:rPr>
              <w:t>S.E</w:t>
            </w:r>
          </w:p>
        </w:tc>
        <w:tc>
          <w:tcPr>
            <w:tcW w:w="0" w:type="auto"/>
            <w:tcBorders>
              <w:top w:val="nil"/>
              <w:left w:val="nil"/>
              <w:bottom w:val="single" w:sz="4" w:space="0" w:color="auto"/>
              <w:right w:val="nil"/>
            </w:tcBorders>
            <w:shd w:val="clear" w:color="auto" w:fill="auto"/>
            <w:noWrap/>
            <w:vAlign w:val="center"/>
            <w:hideMark/>
          </w:tcPr>
          <w:p w14:paraId="00D81736" w14:textId="77777777" w:rsidR="006F3E1C" w:rsidRPr="006F3E1C" w:rsidRDefault="006F3E1C" w:rsidP="00832626">
            <w:pPr>
              <w:jc w:val="center"/>
              <w:rPr>
                <w:b/>
                <w:bCs/>
                <w:color w:val="000000"/>
                <w:szCs w:val="24"/>
              </w:rPr>
            </w:pPr>
            <w:r w:rsidRPr="006F3E1C">
              <w:rPr>
                <w:b/>
                <w:bCs/>
                <w:color w:val="000000"/>
                <w:szCs w:val="24"/>
              </w:rPr>
              <w:t>Coef.</w:t>
            </w:r>
          </w:p>
        </w:tc>
        <w:tc>
          <w:tcPr>
            <w:tcW w:w="0" w:type="auto"/>
            <w:tcBorders>
              <w:top w:val="nil"/>
              <w:left w:val="nil"/>
              <w:bottom w:val="single" w:sz="4" w:space="0" w:color="auto"/>
              <w:right w:val="nil"/>
            </w:tcBorders>
            <w:shd w:val="clear" w:color="auto" w:fill="auto"/>
            <w:noWrap/>
            <w:vAlign w:val="center"/>
            <w:hideMark/>
          </w:tcPr>
          <w:p w14:paraId="7CFF1DC6" w14:textId="77777777" w:rsidR="006F3E1C" w:rsidRPr="006F3E1C" w:rsidRDefault="006F3E1C" w:rsidP="00832626">
            <w:pPr>
              <w:jc w:val="center"/>
              <w:rPr>
                <w:b/>
                <w:bCs/>
                <w:color w:val="000000"/>
                <w:szCs w:val="24"/>
              </w:rPr>
            </w:pPr>
            <w:r w:rsidRPr="006F3E1C">
              <w:rPr>
                <w:b/>
                <w:bCs/>
                <w:color w:val="000000"/>
                <w:szCs w:val="24"/>
              </w:rPr>
              <w:t>S.E</w:t>
            </w:r>
          </w:p>
        </w:tc>
        <w:tc>
          <w:tcPr>
            <w:tcW w:w="0" w:type="auto"/>
            <w:tcBorders>
              <w:top w:val="nil"/>
              <w:left w:val="nil"/>
              <w:bottom w:val="single" w:sz="4" w:space="0" w:color="auto"/>
              <w:right w:val="nil"/>
            </w:tcBorders>
            <w:shd w:val="clear" w:color="auto" w:fill="auto"/>
            <w:noWrap/>
            <w:vAlign w:val="center"/>
            <w:hideMark/>
          </w:tcPr>
          <w:p w14:paraId="62263DBE" w14:textId="77777777" w:rsidR="006F3E1C" w:rsidRPr="006F3E1C" w:rsidRDefault="006F3E1C" w:rsidP="00832626">
            <w:pPr>
              <w:jc w:val="center"/>
              <w:rPr>
                <w:b/>
                <w:bCs/>
                <w:color w:val="000000"/>
                <w:szCs w:val="24"/>
              </w:rPr>
            </w:pPr>
            <w:r w:rsidRPr="006F3E1C">
              <w:rPr>
                <w:b/>
                <w:bCs/>
                <w:color w:val="000000"/>
                <w:szCs w:val="24"/>
              </w:rPr>
              <w:t>Coef.</w:t>
            </w:r>
          </w:p>
        </w:tc>
        <w:tc>
          <w:tcPr>
            <w:tcW w:w="0" w:type="auto"/>
            <w:tcBorders>
              <w:top w:val="nil"/>
              <w:left w:val="nil"/>
              <w:bottom w:val="single" w:sz="4" w:space="0" w:color="auto"/>
              <w:right w:val="nil"/>
            </w:tcBorders>
            <w:shd w:val="clear" w:color="auto" w:fill="auto"/>
            <w:noWrap/>
            <w:vAlign w:val="center"/>
            <w:hideMark/>
          </w:tcPr>
          <w:p w14:paraId="701B82C1" w14:textId="77777777" w:rsidR="006F3E1C" w:rsidRPr="006F3E1C" w:rsidRDefault="006F3E1C" w:rsidP="00832626">
            <w:pPr>
              <w:jc w:val="center"/>
              <w:rPr>
                <w:b/>
                <w:bCs/>
                <w:color w:val="000000"/>
                <w:szCs w:val="24"/>
              </w:rPr>
            </w:pPr>
            <w:r w:rsidRPr="006F3E1C">
              <w:rPr>
                <w:b/>
                <w:bCs/>
                <w:color w:val="000000"/>
                <w:szCs w:val="24"/>
              </w:rPr>
              <w:t>S.E</w:t>
            </w:r>
          </w:p>
        </w:tc>
      </w:tr>
      <w:tr w:rsidR="006F3E1C" w:rsidRPr="006F3E1C" w14:paraId="16532374" w14:textId="77777777" w:rsidTr="00832626">
        <w:trPr>
          <w:trHeight w:val="300"/>
        </w:trPr>
        <w:tc>
          <w:tcPr>
            <w:tcW w:w="0" w:type="auto"/>
            <w:tcBorders>
              <w:top w:val="nil"/>
              <w:left w:val="nil"/>
              <w:bottom w:val="nil"/>
              <w:right w:val="nil"/>
            </w:tcBorders>
            <w:shd w:val="clear" w:color="auto" w:fill="auto"/>
            <w:noWrap/>
            <w:vAlign w:val="center"/>
            <w:hideMark/>
          </w:tcPr>
          <w:p w14:paraId="020C047D" w14:textId="77777777" w:rsidR="006F3E1C" w:rsidRPr="006F3E1C" w:rsidRDefault="006F3E1C" w:rsidP="00832626">
            <w:pPr>
              <w:rPr>
                <w:color w:val="000000"/>
                <w:szCs w:val="24"/>
              </w:rPr>
            </w:pPr>
            <w:r w:rsidRPr="006F3E1C">
              <w:rPr>
                <w:color w:val="000000"/>
                <w:szCs w:val="24"/>
              </w:rPr>
              <w:t>Constant</w:t>
            </w:r>
          </w:p>
        </w:tc>
        <w:tc>
          <w:tcPr>
            <w:tcW w:w="0" w:type="auto"/>
            <w:tcBorders>
              <w:top w:val="nil"/>
              <w:left w:val="nil"/>
              <w:bottom w:val="nil"/>
              <w:right w:val="nil"/>
            </w:tcBorders>
            <w:shd w:val="clear" w:color="auto" w:fill="auto"/>
            <w:noWrap/>
            <w:vAlign w:val="center"/>
          </w:tcPr>
          <w:p w14:paraId="2214E151" w14:textId="77777777" w:rsidR="006F3E1C" w:rsidRPr="006F3E1C" w:rsidRDefault="006F3E1C" w:rsidP="00832626">
            <w:pPr>
              <w:jc w:val="right"/>
              <w:rPr>
                <w:color w:val="000000"/>
                <w:szCs w:val="24"/>
                <w:lang w:val="en-US"/>
              </w:rPr>
            </w:pPr>
            <w:r w:rsidRPr="006F3E1C">
              <w:rPr>
                <w:color w:val="000000"/>
                <w:szCs w:val="24"/>
                <w:lang w:val="en-US"/>
              </w:rPr>
              <w:t>-0.062**</w:t>
            </w:r>
          </w:p>
        </w:tc>
        <w:tc>
          <w:tcPr>
            <w:tcW w:w="0" w:type="auto"/>
            <w:tcBorders>
              <w:top w:val="nil"/>
              <w:left w:val="nil"/>
              <w:bottom w:val="nil"/>
              <w:right w:val="nil"/>
            </w:tcBorders>
            <w:shd w:val="clear" w:color="auto" w:fill="auto"/>
            <w:noWrap/>
            <w:vAlign w:val="center"/>
          </w:tcPr>
          <w:p w14:paraId="161492DC" w14:textId="77777777" w:rsidR="006F3E1C" w:rsidRPr="006F3E1C" w:rsidRDefault="006F3E1C" w:rsidP="00832626">
            <w:pPr>
              <w:jc w:val="right"/>
              <w:rPr>
                <w:color w:val="000000"/>
                <w:szCs w:val="24"/>
                <w:lang w:val="en-US"/>
              </w:rPr>
            </w:pPr>
            <w:r w:rsidRPr="006F3E1C">
              <w:rPr>
                <w:color w:val="000000"/>
                <w:szCs w:val="24"/>
                <w:lang w:val="en-US"/>
              </w:rPr>
              <w:t>0.031</w:t>
            </w:r>
          </w:p>
        </w:tc>
        <w:tc>
          <w:tcPr>
            <w:tcW w:w="0" w:type="auto"/>
            <w:tcBorders>
              <w:top w:val="nil"/>
              <w:left w:val="nil"/>
              <w:bottom w:val="nil"/>
              <w:right w:val="nil"/>
            </w:tcBorders>
            <w:shd w:val="clear" w:color="auto" w:fill="auto"/>
            <w:noWrap/>
            <w:vAlign w:val="center"/>
          </w:tcPr>
          <w:p w14:paraId="2E52AF68" w14:textId="77777777" w:rsidR="006F3E1C" w:rsidRPr="006F3E1C" w:rsidRDefault="006F3E1C" w:rsidP="00832626">
            <w:pPr>
              <w:jc w:val="right"/>
              <w:rPr>
                <w:color w:val="000000"/>
                <w:szCs w:val="24"/>
                <w:lang w:val="en-US"/>
              </w:rPr>
            </w:pPr>
            <w:r w:rsidRPr="006F3E1C">
              <w:rPr>
                <w:color w:val="000000"/>
                <w:szCs w:val="24"/>
                <w:lang w:val="en-US"/>
              </w:rPr>
              <w:t>-0.051</w:t>
            </w:r>
          </w:p>
        </w:tc>
        <w:tc>
          <w:tcPr>
            <w:tcW w:w="0" w:type="auto"/>
            <w:tcBorders>
              <w:top w:val="nil"/>
              <w:left w:val="nil"/>
              <w:bottom w:val="nil"/>
              <w:right w:val="nil"/>
            </w:tcBorders>
            <w:shd w:val="clear" w:color="auto" w:fill="auto"/>
            <w:noWrap/>
            <w:vAlign w:val="center"/>
          </w:tcPr>
          <w:p w14:paraId="351FE613" w14:textId="77777777" w:rsidR="006F3E1C" w:rsidRPr="006F3E1C" w:rsidRDefault="006F3E1C" w:rsidP="00832626">
            <w:pPr>
              <w:jc w:val="right"/>
              <w:rPr>
                <w:color w:val="000000"/>
                <w:szCs w:val="24"/>
                <w:lang w:val="en-US"/>
              </w:rPr>
            </w:pPr>
            <w:r w:rsidRPr="006F3E1C">
              <w:rPr>
                <w:color w:val="000000"/>
                <w:szCs w:val="24"/>
                <w:lang w:val="en-US"/>
              </w:rPr>
              <w:t>0.032</w:t>
            </w:r>
          </w:p>
        </w:tc>
        <w:tc>
          <w:tcPr>
            <w:tcW w:w="0" w:type="auto"/>
            <w:tcBorders>
              <w:top w:val="nil"/>
              <w:left w:val="nil"/>
              <w:bottom w:val="nil"/>
              <w:right w:val="nil"/>
            </w:tcBorders>
            <w:shd w:val="clear" w:color="auto" w:fill="auto"/>
            <w:noWrap/>
            <w:vAlign w:val="center"/>
          </w:tcPr>
          <w:p w14:paraId="23CA30B5" w14:textId="77777777" w:rsidR="006F3E1C" w:rsidRPr="006F3E1C" w:rsidRDefault="006F3E1C" w:rsidP="00832626">
            <w:pPr>
              <w:jc w:val="right"/>
              <w:rPr>
                <w:color w:val="000000"/>
                <w:szCs w:val="24"/>
                <w:lang w:val="en-US"/>
              </w:rPr>
            </w:pPr>
            <w:r w:rsidRPr="006F3E1C">
              <w:rPr>
                <w:color w:val="000000"/>
                <w:szCs w:val="24"/>
                <w:lang w:val="en-US"/>
              </w:rPr>
              <w:t>-0.066**</w:t>
            </w:r>
          </w:p>
        </w:tc>
        <w:tc>
          <w:tcPr>
            <w:tcW w:w="0" w:type="auto"/>
            <w:tcBorders>
              <w:top w:val="nil"/>
              <w:left w:val="nil"/>
              <w:bottom w:val="nil"/>
              <w:right w:val="nil"/>
            </w:tcBorders>
            <w:shd w:val="clear" w:color="auto" w:fill="auto"/>
            <w:noWrap/>
            <w:vAlign w:val="center"/>
          </w:tcPr>
          <w:p w14:paraId="1EBB6660" w14:textId="77777777" w:rsidR="006F3E1C" w:rsidRPr="006F3E1C" w:rsidRDefault="006F3E1C" w:rsidP="00832626">
            <w:pPr>
              <w:jc w:val="right"/>
              <w:rPr>
                <w:color w:val="000000"/>
                <w:szCs w:val="24"/>
                <w:lang w:val="en-US"/>
              </w:rPr>
            </w:pPr>
            <w:r w:rsidRPr="006F3E1C">
              <w:rPr>
                <w:color w:val="000000"/>
                <w:szCs w:val="24"/>
                <w:lang w:val="en-US"/>
              </w:rPr>
              <w:t>0.032</w:t>
            </w:r>
          </w:p>
        </w:tc>
      </w:tr>
      <w:tr w:rsidR="006F3E1C" w:rsidRPr="006F3E1C" w14:paraId="03EFCB75" w14:textId="77777777" w:rsidTr="00832626">
        <w:trPr>
          <w:trHeight w:val="300"/>
        </w:trPr>
        <w:tc>
          <w:tcPr>
            <w:tcW w:w="0" w:type="auto"/>
            <w:tcBorders>
              <w:top w:val="nil"/>
              <w:left w:val="nil"/>
              <w:bottom w:val="nil"/>
              <w:right w:val="nil"/>
            </w:tcBorders>
            <w:shd w:val="clear" w:color="auto" w:fill="auto"/>
            <w:noWrap/>
            <w:vAlign w:val="center"/>
            <w:hideMark/>
          </w:tcPr>
          <w:p w14:paraId="0E83E3EC" w14:textId="77777777" w:rsidR="006F3E1C" w:rsidRPr="006F3E1C" w:rsidRDefault="006F3E1C" w:rsidP="00832626">
            <w:pPr>
              <w:rPr>
                <w:color w:val="000000"/>
                <w:szCs w:val="24"/>
              </w:rPr>
            </w:pPr>
            <w:r w:rsidRPr="006F3E1C">
              <w:rPr>
                <w:color w:val="000000"/>
                <w:szCs w:val="24"/>
              </w:rPr>
              <w:t>Beta Factor (X1)</w:t>
            </w:r>
          </w:p>
        </w:tc>
        <w:tc>
          <w:tcPr>
            <w:tcW w:w="0" w:type="auto"/>
            <w:tcBorders>
              <w:top w:val="nil"/>
              <w:left w:val="nil"/>
              <w:bottom w:val="nil"/>
              <w:right w:val="nil"/>
            </w:tcBorders>
            <w:shd w:val="clear" w:color="auto" w:fill="auto"/>
            <w:noWrap/>
            <w:vAlign w:val="center"/>
          </w:tcPr>
          <w:p w14:paraId="74CB92D9" w14:textId="77777777" w:rsidR="006F3E1C" w:rsidRPr="006F3E1C" w:rsidRDefault="006F3E1C" w:rsidP="00832626">
            <w:pPr>
              <w:jc w:val="right"/>
              <w:rPr>
                <w:color w:val="000000"/>
                <w:szCs w:val="24"/>
                <w:lang w:val="en-US"/>
              </w:rPr>
            </w:pPr>
            <w:r w:rsidRPr="006F3E1C">
              <w:rPr>
                <w:color w:val="000000"/>
                <w:szCs w:val="24"/>
                <w:lang w:val="en-US"/>
              </w:rPr>
              <w:t>0.115</w:t>
            </w:r>
          </w:p>
        </w:tc>
        <w:tc>
          <w:tcPr>
            <w:tcW w:w="0" w:type="auto"/>
            <w:tcBorders>
              <w:top w:val="nil"/>
              <w:left w:val="nil"/>
              <w:bottom w:val="nil"/>
              <w:right w:val="nil"/>
            </w:tcBorders>
            <w:shd w:val="clear" w:color="auto" w:fill="auto"/>
            <w:noWrap/>
            <w:vAlign w:val="center"/>
          </w:tcPr>
          <w:p w14:paraId="40CD7EED" w14:textId="77777777" w:rsidR="006F3E1C" w:rsidRPr="006F3E1C" w:rsidRDefault="006F3E1C" w:rsidP="00832626">
            <w:pPr>
              <w:jc w:val="right"/>
              <w:rPr>
                <w:color w:val="000000"/>
                <w:szCs w:val="24"/>
                <w:lang w:val="en-US"/>
              </w:rPr>
            </w:pPr>
            <w:r w:rsidRPr="006F3E1C">
              <w:rPr>
                <w:color w:val="000000"/>
                <w:szCs w:val="24"/>
                <w:lang w:val="en-US"/>
              </w:rPr>
              <w:t>0.138</w:t>
            </w:r>
          </w:p>
        </w:tc>
        <w:tc>
          <w:tcPr>
            <w:tcW w:w="0" w:type="auto"/>
            <w:tcBorders>
              <w:top w:val="nil"/>
              <w:left w:val="nil"/>
              <w:bottom w:val="nil"/>
              <w:right w:val="nil"/>
            </w:tcBorders>
            <w:shd w:val="clear" w:color="auto" w:fill="auto"/>
            <w:noWrap/>
            <w:vAlign w:val="center"/>
          </w:tcPr>
          <w:p w14:paraId="268B19C0" w14:textId="77777777" w:rsidR="006F3E1C" w:rsidRPr="006F3E1C" w:rsidRDefault="006F3E1C" w:rsidP="00832626">
            <w:pPr>
              <w:jc w:val="right"/>
              <w:rPr>
                <w:color w:val="000000"/>
                <w:szCs w:val="24"/>
                <w:lang w:val="en-US"/>
              </w:rPr>
            </w:pPr>
            <w:r w:rsidRPr="006F3E1C">
              <w:rPr>
                <w:color w:val="000000"/>
                <w:szCs w:val="24"/>
                <w:lang w:val="en-US"/>
              </w:rPr>
              <w:t>0.115</w:t>
            </w:r>
          </w:p>
        </w:tc>
        <w:tc>
          <w:tcPr>
            <w:tcW w:w="0" w:type="auto"/>
            <w:tcBorders>
              <w:top w:val="nil"/>
              <w:left w:val="nil"/>
              <w:bottom w:val="nil"/>
              <w:right w:val="nil"/>
            </w:tcBorders>
            <w:shd w:val="clear" w:color="auto" w:fill="auto"/>
            <w:noWrap/>
            <w:vAlign w:val="center"/>
          </w:tcPr>
          <w:p w14:paraId="41679173" w14:textId="77777777" w:rsidR="006F3E1C" w:rsidRPr="006F3E1C" w:rsidRDefault="006F3E1C" w:rsidP="00832626">
            <w:pPr>
              <w:jc w:val="right"/>
              <w:rPr>
                <w:color w:val="000000"/>
                <w:szCs w:val="24"/>
                <w:lang w:val="en-US"/>
              </w:rPr>
            </w:pPr>
            <w:r w:rsidRPr="006F3E1C">
              <w:rPr>
                <w:color w:val="000000"/>
                <w:szCs w:val="24"/>
                <w:lang w:val="en-US"/>
              </w:rPr>
              <w:t>0.138</w:t>
            </w:r>
          </w:p>
        </w:tc>
        <w:tc>
          <w:tcPr>
            <w:tcW w:w="0" w:type="auto"/>
            <w:tcBorders>
              <w:top w:val="nil"/>
              <w:left w:val="nil"/>
              <w:bottom w:val="nil"/>
              <w:right w:val="nil"/>
            </w:tcBorders>
            <w:shd w:val="clear" w:color="auto" w:fill="auto"/>
            <w:noWrap/>
            <w:vAlign w:val="center"/>
          </w:tcPr>
          <w:p w14:paraId="3D43B32E" w14:textId="77777777" w:rsidR="006F3E1C" w:rsidRPr="006F3E1C" w:rsidRDefault="006F3E1C" w:rsidP="00832626">
            <w:pPr>
              <w:jc w:val="right"/>
              <w:rPr>
                <w:color w:val="000000"/>
                <w:szCs w:val="24"/>
                <w:lang w:val="en-US"/>
              </w:rPr>
            </w:pPr>
            <w:r w:rsidRPr="006F3E1C">
              <w:rPr>
                <w:color w:val="000000"/>
                <w:szCs w:val="24"/>
                <w:lang w:val="en-US"/>
              </w:rPr>
              <w:t>0.252</w:t>
            </w:r>
          </w:p>
        </w:tc>
        <w:tc>
          <w:tcPr>
            <w:tcW w:w="0" w:type="auto"/>
            <w:tcBorders>
              <w:top w:val="nil"/>
              <w:left w:val="nil"/>
              <w:bottom w:val="nil"/>
              <w:right w:val="nil"/>
            </w:tcBorders>
            <w:shd w:val="clear" w:color="auto" w:fill="auto"/>
            <w:noWrap/>
            <w:vAlign w:val="center"/>
          </w:tcPr>
          <w:p w14:paraId="693DD3B6" w14:textId="77777777" w:rsidR="006F3E1C" w:rsidRPr="006F3E1C" w:rsidRDefault="006F3E1C" w:rsidP="00832626">
            <w:pPr>
              <w:jc w:val="right"/>
              <w:rPr>
                <w:color w:val="000000"/>
                <w:szCs w:val="24"/>
                <w:lang w:val="en-US"/>
              </w:rPr>
            </w:pPr>
            <w:r w:rsidRPr="006F3E1C">
              <w:rPr>
                <w:color w:val="000000"/>
                <w:szCs w:val="24"/>
                <w:lang w:val="en-US"/>
              </w:rPr>
              <w:t>0.181</w:t>
            </w:r>
          </w:p>
        </w:tc>
      </w:tr>
      <w:tr w:rsidR="006F3E1C" w:rsidRPr="006F3E1C" w14:paraId="46FA8852" w14:textId="77777777" w:rsidTr="00832626">
        <w:trPr>
          <w:trHeight w:val="300"/>
        </w:trPr>
        <w:tc>
          <w:tcPr>
            <w:tcW w:w="0" w:type="auto"/>
            <w:tcBorders>
              <w:top w:val="nil"/>
              <w:left w:val="nil"/>
              <w:bottom w:val="nil"/>
              <w:right w:val="nil"/>
            </w:tcBorders>
            <w:shd w:val="clear" w:color="auto" w:fill="auto"/>
            <w:noWrap/>
            <w:vAlign w:val="center"/>
            <w:hideMark/>
          </w:tcPr>
          <w:p w14:paraId="215CEEEB" w14:textId="77777777" w:rsidR="006F3E1C" w:rsidRPr="006F3E1C" w:rsidRDefault="006F3E1C" w:rsidP="00832626">
            <w:pPr>
              <w:rPr>
                <w:color w:val="000000"/>
                <w:szCs w:val="24"/>
              </w:rPr>
            </w:pPr>
            <w:r w:rsidRPr="006F3E1C">
              <w:rPr>
                <w:color w:val="000000"/>
                <w:szCs w:val="24"/>
              </w:rPr>
              <w:t>Interest rate risk (X2)</w:t>
            </w:r>
          </w:p>
        </w:tc>
        <w:tc>
          <w:tcPr>
            <w:tcW w:w="0" w:type="auto"/>
            <w:tcBorders>
              <w:top w:val="nil"/>
              <w:left w:val="nil"/>
              <w:bottom w:val="nil"/>
              <w:right w:val="nil"/>
            </w:tcBorders>
            <w:shd w:val="clear" w:color="auto" w:fill="auto"/>
            <w:noWrap/>
            <w:vAlign w:val="center"/>
          </w:tcPr>
          <w:p w14:paraId="054675AE" w14:textId="77777777" w:rsidR="006F3E1C" w:rsidRPr="006F3E1C" w:rsidRDefault="006F3E1C" w:rsidP="00832626">
            <w:pPr>
              <w:jc w:val="right"/>
              <w:rPr>
                <w:color w:val="000000"/>
                <w:szCs w:val="24"/>
                <w:lang w:val="en-US"/>
              </w:rPr>
            </w:pPr>
            <w:r w:rsidRPr="006F3E1C">
              <w:rPr>
                <w:color w:val="000000"/>
                <w:szCs w:val="24"/>
                <w:lang w:val="en-US"/>
              </w:rPr>
              <w:t>0.111**</w:t>
            </w:r>
          </w:p>
        </w:tc>
        <w:tc>
          <w:tcPr>
            <w:tcW w:w="0" w:type="auto"/>
            <w:tcBorders>
              <w:top w:val="nil"/>
              <w:left w:val="nil"/>
              <w:bottom w:val="nil"/>
              <w:right w:val="nil"/>
            </w:tcBorders>
            <w:shd w:val="clear" w:color="auto" w:fill="auto"/>
            <w:noWrap/>
            <w:vAlign w:val="center"/>
          </w:tcPr>
          <w:p w14:paraId="7B1D528C" w14:textId="77777777" w:rsidR="006F3E1C" w:rsidRPr="006F3E1C" w:rsidRDefault="006F3E1C" w:rsidP="00832626">
            <w:pPr>
              <w:jc w:val="right"/>
              <w:rPr>
                <w:color w:val="000000"/>
                <w:szCs w:val="24"/>
                <w:lang w:val="en-US"/>
              </w:rPr>
            </w:pPr>
            <w:r w:rsidRPr="006F3E1C">
              <w:rPr>
                <w:color w:val="000000"/>
                <w:szCs w:val="24"/>
                <w:lang w:val="en-US"/>
              </w:rPr>
              <w:t>0.039</w:t>
            </w:r>
          </w:p>
        </w:tc>
        <w:tc>
          <w:tcPr>
            <w:tcW w:w="0" w:type="auto"/>
            <w:tcBorders>
              <w:top w:val="nil"/>
              <w:left w:val="nil"/>
              <w:bottom w:val="nil"/>
              <w:right w:val="nil"/>
            </w:tcBorders>
            <w:shd w:val="clear" w:color="auto" w:fill="auto"/>
            <w:noWrap/>
            <w:vAlign w:val="center"/>
          </w:tcPr>
          <w:p w14:paraId="2EF4C9DC" w14:textId="77777777" w:rsidR="006F3E1C" w:rsidRPr="006F3E1C" w:rsidRDefault="006F3E1C" w:rsidP="00832626">
            <w:pPr>
              <w:jc w:val="right"/>
              <w:rPr>
                <w:color w:val="000000"/>
                <w:szCs w:val="24"/>
                <w:lang w:val="en-US"/>
              </w:rPr>
            </w:pPr>
            <w:r w:rsidRPr="006F3E1C">
              <w:rPr>
                <w:color w:val="000000"/>
                <w:szCs w:val="24"/>
                <w:lang w:val="en-US"/>
              </w:rPr>
              <w:t>0.109**</w:t>
            </w:r>
          </w:p>
        </w:tc>
        <w:tc>
          <w:tcPr>
            <w:tcW w:w="0" w:type="auto"/>
            <w:tcBorders>
              <w:top w:val="nil"/>
              <w:left w:val="nil"/>
              <w:bottom w:val="nil"/>
              <w:right w:val="nil"/>
            </w:tcBorders>
            <w:shd w:val="clear" w:color="auto" w:fill="auto"/>
            <w:noWrap/>
            <w:vAlign w:val="center"/>
          </w:tcPr>
          <w:p w14:paraId="7FF0C047" w14:textId="77777777" w:rsidR="006F3E1C" w:rsidRPr="006F3E1C" w:rsidRDefault="006F3E1C" w:rsidP="00832626">
            <w:pPr>
              <w:jc w:val="right"/>
              <w:rPr>
                <w:color w:val="000000"/>
                <w:szCs w:val="24"/>
                <w:lang w:val="en-US"/>
              </w:rPr>
            </w:pPr>
            <w:r w:rsidRPr="006F3E1C">
              <w:rPr>
                <w:color w:val="000000"/>
                <w:szCs w:val="24"/>
                <w:lang w:val="en-US"/>
              </w:rPr>
              <w:t>0.038</w:t>
            </w:r>
          </w:p>
        </w:tc>
        <w:tc>
          <w:tcPr>
            <w:tcW w:w="0" w:type="auto"/>
            <w:tcBorders>
              <w:top w:val="nil"/>
              <w:left w:val="nil"/>
              <w:bottom w:val="nil"/>
              <w:right w:val="nil"/>
            </w:tcBorders>
            <w:shd w:val="clear" w:color="auto" w:fill="auto"/>
            <w:noWrap/>
            <w:vAlign w:val="center"/>
          </w:tcPr>
          <w:p w14:paraId="520D6F4F" w14:textId="77777777" w:rsidR="006F3E1C" w:rsidRPr="006F3E1C" w:rsidRDefault="006F3E1C" w:rsidP="00832626">
            <w:pPr>
              <w:jc w:val="right"/>
              <w:rPr>
                <w:color w:val="000000"/>
                <w:szCs w:val="24"/>
                <w:lang w:val="en-US"/>
              </w:rPr>
            </w:pPr>
            <w:r w:rsidRPr="006F3E1C">
              <w:rPr>
                <w:color w:val="000000"/>
                <w:szCs w:val="24"/>
                <w:lang w:val="en-US"/>
              </w:rPr>
              <w:t>0.093*</w:t>
            </w:r>
          </w:p>
        </w:tc>
        <w:tc>
          <w:tcPr>
            <w:tcW w:w="0" w:type="auto"/>
            <w:tcBorders>
              <w:top w:val="nil"/>
              <w:left w:val="nil"/>
              <w:bottom w:val="nil"/>
              <w:right w:val="nil"/>
            </w:tcBorders>
            <w:shd w:val="clear" w:color="auto" w:fill="auto"/>
            <w:noWrap/>
            <w:vAlign w:val="center"/>
          </w:tcPr>
          <w:p w14:paraId="68740BEE" w14:textId="77777777" w:rsidR="006F3E1C" w:rsidRPr="006F3E1C" w:rsidRDefault="006F3E1C" w:rsidP="00832626">
            <w:pPr>
              <w:jc w:val="right"/>
              <w:rPr>
                <w:color w:val="000000"/>
                <w:szCs w:val="24"/>
                <w:lang w:val="en-US"/>
              </w:rPr>
            </w:pPr>
            <w:r w:rsidRPr="006F3E1C">
              <w:rPr>
                <w:color w:val="000000"/>
                <w:szCs w:val="24"/>
                <w:lang w:val="en-US"/>
              </w:rPr>
              <w:t>0.048</w:t>
            </w:r>
          </w:p>
        </w:tc>
      </w:tr>
      <w:tr w:rsidR="006F3E1C" w:rsidRPr="006F3E1C" w14:paraId="49757461" w14:textId="77777777" w:rsidTr="00832626">
        <w:trPr>
          <w:trHeight w:val="300"/>
        </w:trPr>
        <w:tc>
          <w:tcPr>
            <w:tcW w:w="0" w:type="auto"/>
            <w:tcBorders>
              <w:top w:val="nil"/>
              <w:left w:val="nil"/>
              <w:bottom w:val="nil"/>
              <w:right w:val="nil"/>
            </w:tcBorders>
            <w:shd w:val="clear" w:color="auto" w:fill="auto"/>
            <w:noWrap/>
            <w:vAlign w:val="center"/>
            <w:hideMark/>
          </w:tcPr>
          <w:p w14:paraId="144C89FC" w14:textId="77777777" w:rsidR="006F3E1C" w:rsidRPr="006F3E1C" w:rsidRDefault="006F3E1C" w:rsidP="00832626">
            <w:pPr>
              <w:rPr>
                <w:color w:val="000000"/>
                <w:szCs w:val="24"/>
              </w:rPr>
            </w:pPr>
            <w:r w:rsidRPr="006F3E1C">
              <w:rPr>
                <w:color w:val="000000"/>
                <w:szCs w:val="24"/>
              </w:rPr>
              <w:t>Financial Distress (X3)</w:t>
            </w:r>
          </w:p>
        </w:tc>
        <w:tc>
          <w:tcPr>
            <w:tcW w:w="0" w:type="auto"/>
            <w:tcBorders>
              <w:top w:val="nil"/>
              <w:left w:val="nil"/>
              <w:bottom w:val="nil"/>
              <w:right w:val="nil"/>
            </w:tcBorders>
            <w:shd w:val="clear" w:color="auto" w:fill="auto"/>
            <w:noWrap/>
            <w:vAlign w:val="center"/>
          </w:tcPr>
          <w:p w14:paraId="57563401" w14:textId="77777777" w:rsidR="006F3E1C" w:rsidRPr="006F3E1C" w:rsidRDefault="006F3E1C" w:rsidP="00832626">
            <w:pPr>
              <w:jc w:val="right"/>
              <w:rPr>
                <w:color w:val="000000"/>
                <w:szCs w:val="24"/>
                <w:lang w:val="en-US"/>
              </w:rPr>
            </w:pPr>
            <w:r w:rsidRPr="006F3E1C">
              <w:rPr>
                <w:color w:val="000000"/>
                <w:szCs w:val="24"/>
                <w:lang w:val="en-US"/>
              </w:rPr>
              <w:t>0.018*</w:t>
            </w:r>
          </w:p>
        </w:tc>
        <w:tc>
          <w:tcPr>
            <w:tcW w:w="0" w:type="auto"/>
            <w:tcBorders>
              <w:top w:val="nil"/>
              <w:left w:val="nil"/>
              <w:bottom w:val="nil"/>
              <w:right w:val="nil"/>
            </w:tcBorders>
            <w:shd w:val="clear" w:color="auto" w:fill="auto"/>
            <w:noWrap/>
            <w:vAlign w:val="center"/>
          </w:tcPr>
          <w:p w14:paraId="2115F1B1" w14:textId="77777777" w:rsidR="006F3E1C" w:rsidRPr="006F3E1C" w:rsidRDefault="006F3E1C" w:rsidP="00832626">
            <w:pPr>
              <w:jc w:val="right"/>
              <w:rPr>
                <w:color w:val="000000"/>
                <w:szCs w:val="24"/>
                <w:lang w:val="en-US"/>
              </w:rPr>
            </w:pPr>
            <w:r w:rsidRPr="006F3E1C">
              <w:rPr>
                <w:color w:val="000000"/>
                <w:szCs w:val="24"/>
                <w:lang w:val="en-US"/>
              </w:rPr>
              <w:t>0.009</w:t>
            </w:r>
          </w:p>
        </w:tc>
        <w:tc>
          <w:tcPr>
            <w:tcW w:w="0" w:type="auto"/>
            <w:tcBorders>
              <w:top w:val="nil"/>
              <w:left w:val="nil"/>
              <w:bottom w:val="nil"/>
              <w:right w:val="nil"/>
            </w:tcBorders>
            <w:shd w:val="clear" w:color="auto" w:fill="auto"/>
            <w:noWrap/>
            <w:vAlign w:val="center"/>
          </w:tcPr>
          <w:p w14:paraId="61E5D948" w14:textId="77777777" w:rsidR="006F3E1C" w:rsidRPr="006F3E1C" w:rsidRDefault="006F3E1C" w:rsidP="00832626">
            <w:pPr>
              <w:jc w:val="right"/>
              <w:rPr>
                <w:color w:val="000000"/>
                <w:szCs w:val="24"/>
                <w:lang w:val="en-US"/>
              </w:rPr>
            </w:pPr>
            <w:r w:rsidRPr="006F3E1C">
              <w:rPr>
                <w:color w:val="000000"/>
                <w:szCs w:val="24"/>
                <w:lang w:val="en-US"/>
              </w:rPr>
              <w:t>0.010</w:t>
            </w:r>
          </w:p>
        </w:tc>
        <w:tc>
          <w:tcPr>
            <w:tcW w:w="0" w:type="auto"/>
            <w:tcBorders>
              <w:top w:val="nil"/>
              <w:left w:val="nil"/>
              <w:bottom w:val="nil"/>
              <w:right w:val="nil"/>
            </w:tcBorders>
            <w:shd w:val="clear" w:color="auto" w:fill="auto"/>
            <w:noWrap/>
            <w:vAlign w:val="center"/>
          </w:tcPr>
          <w:p w14:paraId="49CD9205" w14:textId="77777777" w:rsidR="006F3E1C" w:rsidRPr="006F3E1C" w:rsidRDefault="006F3E1C" w:rsidP="00832626">
            <w:pPr>
              <w:jc w:val="right"/>
              <w:rPr>
                <w:color w:val="000000"/>
                <w:szCs w:val="24"/>
                <w:lang w:val="en-US"/>
              </w:rPr>
            </w:pPr>
            <w:r w:rsidRPr="006F3E1C">
              <w:rPr>
                <w:color w:val="000000"/>
                <w:szCs w:val="24"/>
                <w:lang w:val="en-US"/>
              </w:rPr>
              <w:t>0.012</w:t>
            </w:r>
          </w:p>
        </w:tc>
        <w:tc>
          <w:tcPr>
            <w:tcW w:w="0" w:type="auto"/>
            <w:tcBorders>
              <w:top w:val="nil"/>
              <w:left w:val="nil"/>
              <w:bottom w:val="nil"/>
              <w:right w:val="nil"/>
            </w:tcBorders>
            <w:shd w:val="clear" w:color="auto" w:fill="auto"/>
            <w:noWrap/>
            <w:vAlign w:val="center"/>
          </w:tcPr>
          <w:p w14:paraId="6E67B51C" w14:textId="77777777" w:rsidR="006F3E1C" w:rsidRPr="006F3E1C" w:rsidRDefault="006F3E1C" w:rsidP="00832626">
            <w:pPr>
              <w:jc w:val="right"/>
              <w:rPr>
                <w:color w:val="000000"/>
                <w:szCs w:val="24"/>
                <w:lang w:val="en-US"/>
              </w:rPr>
            </w:pPr>
            <w:r w:rsidRPr="006F3E1C">
              <w:rPr>
                <w:color w:val="000000"/>
                <w:szCs w:val="24"/>
                <w:lang w:val="en-US"/>
              </w:rPr>
              <w:t>0.007</w:t>
            </w:r>
          </w:p>
        </w:tc>
        <w:tc>
          <w:tcPr>
            <w:tcW w:w="0" w:type="auto"/>
            <w:tcBorders>
              <w:top w:val="nil"/>
              <w:left w:val="nil"/>
              <w:bottom w:val="nil"/>
              <w:right w:val="nil"/>
            </w:tcBorders>
            <w:shd w:val="clear" w:color="auto" w:fill="auto"/>
            <w:noWrap/>
            <w:vAlign w:val="center"/>
          </w:tcPr>
          <w:p w14:paraId="1B9BF793" w14:textId="77777777" w:rsidR="006F3E1C" w:rsidRPr="006F3E1C" w:rsidRDefault="006F3E1C" w:rsidP="00832626">
            <w:pPr>
              <w:jc w:val="right"/>
              <w:rPr>
                <w:color w:val="000000"/>
                <w:szCs w:val="24"/>
                <w:lang w:val="en-US"/>
              </w:rPr>
            </w:pPr>
            <w:r w:rsidRPr="006F3E1C">
              <w:rPr>
                <w:color w:val="000000"/>
                <w:szCs w:val="24"/>
                <w:lang w:val="en-US"/>
              </w:rPr>
              <w:t>0.012</w:t>
            </w:r>
          </w:p>
        </w:tc>
      </w:tr>
      <w:tr w:rsidR="006F3E1C" w:rsidRPr="006F3E1C" w14:paraId="12A31B2D" w14:textId="77777777" w:rsidTr="00832626">
        <w:trPr>
          <w:trHeight w:val="300"/>
        </w:trPr>
        <w:tc>
          <w:tcPr>
            <w:tcW w:w="0" w:type="auto"/>
            <w:tcBorders>
              <w:top w:val="nil"/>
              <w:left w:val="nil"/>
              <w:bottom w:val="nil"/>
              <w:right w:val="nil"/>
            </w:tcBorders>
            <w:shd w:val="clear" w:color="auto" w:fill="auto"/>
            <w:noWrap/>
            <w:vAlign w:val="center"/>
            <w:hideMark/>
          </w:tcPr>
          <w:p w14:paraId="39FE8CFF" w14:textId="77777777" w:rsidR="006F3E1C" w:rsidRPr="006F3E1C" w:rsidRDefault="006F3E1C" w:rsidP="00832626">
            <w:pPr>
              <w:rPr>
                <w:color w:val="000000"/>
                <w:szCs w:val="24"/>
              </w:rPr>
            </w:pPr>
            <w:r w:rsidRPr="006F3E1C">
              <w:rPr>
                <w:color w:val="000000"/>
                <w:szCs w:val="24"/>
              </w:rPr>
              <w:t>ROA (M)</w:t>
            </w:r>
          </w:p>
        </w:tc>
        <w:tc>
          <w:tcPr>
            <w:tcW w:w="0" w:type="auto"/>
            <w:tcBorders>
              <w:top w:val="nil"/>
              <w:left w:val="nil"/>
              <w:bottom w:val="nil"/>
              <w:right w:val="nil"/>
            </w:tcBorders>
            <w:shd w:val="clear" w:color="auto" w:fill="auto"/>
            <w:noWrap/>
            <w:vAlign w:val="center"/>
            <w:hideMark/>
          </w:tcPr>
          <w:p w14:paraId="7573F1B8" w14:textId="77777777" w:rsidR="006F3E1C" w:rsidRPr="006F3E1C" w:rsidRDefault="006F3E1C" w:rsidP="00832626">
            <w:pPr>
              <w:rPr>
                <w:color w:val="000000"/>
                <w:szCs w:val="24"/>
              </w:rPr>
            </w:pPr>
          </w:p>
        </w:tc>
        <w:tc>
          <w:tcPr>
            <w:tcW w:w="0" w:type="auto"/>
            <w:tcBorders>
              <w:top w:val="nil"/>
              <w:left w:val="nil"/>
              <w:bottom w:val="nil"/>
              <w:right w:val="nil"/>
            </w:tcBorders>
            <w:shd w:val="clear" w:color="auto" w:fill="auto"/>
            <w:noWrap/>
            <w:vAlign w:val="center"/>
            <w:hideMark/>
          </w:tcPr>
          <w:p w14:paraId="7C0D0CF0"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1BB63F03" w14:textId="77777777" w:rsidR="006F3E1C" w:rsidRPr="006F3E1C" w:rsidRDefault="006F3E1C" w:rsidP="00832626">
            <w:pPr>
              <w:jc w:val="right"/>
              <w:rPr>
                <w:color w:val="000000"/>
                <w:szCs w:val="24"/>
                <w:lang w:val="en-US"/>
              </w:rPr>
            </w:pPr>
            <w:r w:rsidRPr="006F3E1C">
              <w:rPr>
                <w:color w:val="000000"/>
                <w:szCs w:val="24"/>
                <w:lang w:val="en-US"/>
              </w:rPr>
              <w:t>0.182</w:t>
            </w:r>
          </w:p>
        </w:tc>
        <w:tc>
          <w:tcPr>
            <w:tcW w:w="0" w:type="auto"/>
            <w:tcBorders>
              <w:top w:val="nil"/>
              <w:left w:val="nil"/>
              <w:bottom w:val="nil"/>
              <w:right w:val="nil"/>
            </w:tcBorders>
            <w:shd w:val="clear" w:color="auto" w:fill="auto"/>
            <w:noWrap/>
            <w:vAlign w:val="center"/>
          </w:tcPr>
          <w:p w14:paraId="399C1841" w14:textId="77777777" w:rsidR="006F3E1C" w:rsidRPr="006F3E1C" w:rsidRDefault="006F3E1C" w:rsidP="00832626">
            <w:pPr>
              <w:jc w:val="right"/>
              <w:rPr>
                <w:color w:val="000000"/>
                <w:szCs w:val="24"/>
                <w:lang w:val="en-US"/>
              </w:rPr>
            </w:pPr>
            <w:r w:rsidRPr="006F3E1C">
              <w:rPr>
                <w:color w:val="000000"/>
                <w:szCs w:val="24"/>
                <w:lang w:val="en-US"/>
              </w:rPr>
              <w:t>0.154</w:t>
            </w:r>
          </w:p>
        </w:tc>
        <w:tc>
          <w:tcPr>
            <w:tcW w:w="0" w:type="auto"/>
            <w:tcBorders>
              <w:top w:val="nil"/>
              <w:left w:val="nil"/>
              <w:bottom w:val="nil"/>
              <w:right w:val="nil"/>
            </w:tcBorders>
            <w:shd w:val="clear" w:color="auto" w:fill="auto"/>
            <w:noWrap/>
            <w:vAlign w:val="center"/>
          </w:tcPr>
          <w:p w14:paraId="345B3800" w14:textId="77777777" w:rsidR="006F3E1C" w:rsidRPr="006F3E1C" w:rsidRDefault="006F3E1C" w:rsidP="00832626">
            <w:pPr>
              <w:jc w:val="right"/>
              <w:rPr>
                <w:color w:val="000000"/>
                <w:szCs w:val="24"/>
                <w:lang w:val="en-US"/>
              </w:rPr>
            </w:pPr>
            <w:r w:rsidRPr="006F3E1C">
              <w:rPr>
                <w:color w:val="000000"/>
                <w:szCs w:val="24"/>
                <w:lang w:val="en-US"/>
              </w:rPr>
              <w:t>0.374</w:t>
            </w:r>
          </w:p>
        </w:tc>
        <w:tc>
          <w:tcPr>
            <w:tcW w:w="0" w:type="auto"/>
            <w:tcBorders>
              <w:top w:val="nil"/>
              <w:left w:val="nil"/>
              <w:bottom w:val="nil"/>
              <w:right w:val="nil"/>
            </w:tcBorders>
            <w:shd w:val="clear" w:color="auto" w:fill="auto"/>
            <w:noWrap/>
            <w:vAlign w:val="center"/>
          </w:tcPr>
          <w:p w14:paraId="2A802F4B" w14:textId="77777777" w:rsidR="006F3E1C" w:rsidRPr="006F3E1C" w:rsidRDefault="006F3E1C" w:rsidP="00832626">
            <w:pPr>
              <w:jc w:val="right"/>
              <w:rPr>
                <w:szCs w:val="24"/>
                <w:lang w:val="en-US"/>
              </w:rPr>
            </w:pPr>
            <w:r w:rsidRPr="006F3E1C">
              <w:rPr>
                <w:szCs w:val="24"/>
                <w:lang w:val="en-US"/>
              </w:rPr>
              <w:t>0.177</w:t>
            </w:r>
          </w:p>
        </w:tc>
      </w:tr>
      <w:tr w:rsidR="006F3E1C" w:rsidRPr="006F3E1C" w14:paraId="2D9A2A7E" w14:textId="77777777" w:rsidTr="00832626">
        <w:trPr>
          <w:trHeight w:val="480"/>
        </w:trPr>
        <w:tc>
          <w:tcPr>
            <w:tcW w:w="0" w:type="auto"/>
            <w:tcBorders>
              <w:top w:val="nil"/>
              <w:left w:val="nil"/>
              <w:bottom w:val="nil"/>
              <w:right w:val="nil"/>
            </w:tcBorders>
            <w:shd w:val="clear" w:color="auto" w:fill="auto"/>
            <w:noWrap/>
            <w:vAlign w:val="center"/>
            <w:hideMark/>
          </w:tcPr>
          <w:p w14:paraId="16565967" w14:textId="77777777" w:rsidR="006F3E1C" w:rsidRPr="006F3E1C" w:rsidRDefault="006F3E1C" w:rsidP="00832626">
            <w:pPr>
              <w:rPr>
                <w:color w:val="000000"/>
                <w:szCs w:val="24"/>
              </w:rPr>
            </w:pPr>
            <w:r w:rsidRPr="006F3E1C">
              <w:rPr>
                <w:color w:val="000000"/>
                <w:szCs w:val="24"/>
              </w:rPr>
              <w:t>X1 x M</w:t>
            </w:r>
          </w:p>
        </w:tc>
        <w:tc>
          <w:tcPr>
            <w:tcW w:w="0" w:type="auto"/>
            <w:tcBorders>
              <w:top w:val="nil"/>
              <w:left w:val="nil"/>
              <w:bottom w:val="nil"/>
              <w:right w:val="nil"/>
            </w:tcBorders>
            <w:shd w:val="clear" w:color="auto" w:fill="auto"/>
            <w:noWrap/>
            <w:vAlign w:val="center"/>
            <w:hideMark/>
          </w:tcPr>
          <w:p w14:paraId="09B085E9" w14:textId="77777777" w:rsidR="006F3E1C" w:rsidRPr="006F3E1C" w:rsidRDefault="006F3E1C" w:rsidP="00832626">
            <w:pPr>
              <w:rPr>
                <w:color w:val="000000"/>
                <w:szCs w:val="24"/>
              </w:rPr>
            </w:pPr>
          </w:p>
        </w:tc>
        <w:tc>
          <w:tcPr>
            <w:tcW w:w="0" w:type="auto"/>
            <w:tcBorders>
              <w:top w:val="nil"/>
              <w:left w:val="nil"/>
              <w:bottom w:val="nil"/>
              <w:right w:val="nil"/>
            </w:tcBorders>
            <w:shd w:val="clear" w:color="auto" w:fill="auto"/>
            <w:noWrap/>
            <w:vAlign w:val="center"/>
            <w:hideMark/>
          </w:tcPr>
          <w:p w14:paraId="540DE5AE"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34311A3B"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5AC810FD"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4840A5A8" w14:textId="77777777" w:rsidR="006F3E1C" w:rsidRPr="006F3E1C" w:rsidRDefault="006F3E1C" w:rsidP="00832626">
            <w:pPr>
              <w:jc w:val="right"/>
              <w:rPr>
                <w:color w:val="000000"/>
                <w:szCs w:val="24"/>
              </w:rPr>
            </w:pPr>
            <w:r w:rsidRPr="006F3E1C">
              <w:rPr>
                <w:color w:val="000000"/>
                <w:szCs w:val="24"/>
                <w:lang w:val="en-US"/>
              </w:rPr>
              <w:t>-1,839</w:t>
            </w:r>
          </w:p>
        </w:tc>
        <w:tc>
          <w:tcPr>
            <w:tcW w:w="0" w:type="auto"/>
            <w:tcBorders>
              <w:top w:val="nil"/>
              <w:left w:val="nil"/>
              <w:bottom w:val="nil"/>
              <w:right w:val="nil"/>
            </w:tcBorders>
            <w:shd w:val="clear" w:color="auto" w:fill="auto"/>
            <w:noWrap/>
            <w:vAlign w:val="center"/>
          </w:tcPr>
          <w:p w14:paraId="731FFF83" w14:textId="77777777" w:rsidR="006F3E1C" w:rsidRPr="006F3E1C" w:rsidRDefault="006F3E1C" w:rsidP="00832626">
            <w:pPr>
              <w:jc w:val="right"/>
              <w:rPr>
                <w:color w:val="000000"/>
                <w:szCs w:val="24"/>
                <w:lang w:val="en-US"/>
              </w:rPr>
            </w:pPr>
            <w:r w:rsidRPr="006F3E1C">
              <w:rPr>
                <w:color w:val="000000"/>
                <w:szCs w:val="24"/>
                <w:lang w:val="en-US"/>
              </w:rPr>
              <w:t>1,308</w:t>
            </w:r>
          </w:p>
        </w:tc>
      </w:tr>
      <w:tr w:rsidR="006F3E1C" w:rsidRPr="006F3E1C" w14:paraId="5E4F3D0E" w14:textId="77777777" w:rsidTr="00832626">
        <w:trPr>
          <w:trHeight w:val="345"/>
        </w:trPr>
        <w:tc>
          <w:tcPr>
            <w:tcW w:w="0" w:type="auto"/>
            <w:tcBorders>
              <w:top w:val="nil"/>
              <w:left w:val="nil"/>
              <w:bottom w:val="nil"/>
              <w:right w:val="nil"/>
            </w:tcBorders>
            <w:shd w:val="clear" w:color="auto" w:fill="auto"/>
            <w:noWrap/>
            <w:vAlign w:val="center"/>
            <w:hideMark/>
          </w:tcPr>
          <w:p w14:paraId="0E5CFED1" w14:textId="77777777" w:rsidR="006F3E1C" w:rsidRPr="006F3E1C" w:rsidRDefault="006F3E1C" w:rsidP="00832626">
            <w:pPr>
              <w:rPr>
                <w:color w:val="000000"/>
                <w:szCs w:val="24"/>
              </w:rPr>
            </w:pPr>
            <w:r w:rsidRPr="006F3E1C">
              <w:rPr>
                <w:color w:val="000000"/>
                <w:szCs w:val="24"/>
              </w:rPr>
              <w:t>X2 x M</w:t>
            </w:r>
          </w:p>
        </w:tc>
        <w:tc>
          <w:tcPr>
            <w:tcW w:w="0" w:type="auto"/>
            <w:tcBorders>
              <w:top w:val="nil"/>
              <w:left w:val="nil"/>
              <w:bottom w:val="nil"/>
              <w:right w:val="nil"/>
            </w:tcBorders>
            <w:shd w:val="clear" w:color="auto" w:fill="auto"/>
            <w:noWrap/>
            <w:vAlign w:val="center"/>
            <w:hideMark/>
          </w:tcPr>
          <w:p w14:paraId="20A83FA4" w14:textId="77777777" w:rsidR="006F3E1C" w:rsidRPr="006F3E1C" w:rsidRDefault="006F3E1C" w:rsidP="00832626">
            <w:pPr>
              <w:rPr>
                <w:color w:val="000000"/>
                <w:szCs w:val="24"/>
              </w:rPr>
            </w:pPr>
          </w:p>
        </w:tc>
        <w:tc>
          <w:tcPr>
            <w:tcW w:w="0" w:type="auto"/>
            <w:tcBorders>
              <w:top w:val="nil"/>
              <w:left w:val="nil"/>
              <w:bottom w:val="nil"/>
              <w:right w:val="nil"/>
            </w:tcBorders>
            <w:shd w:val="clear" w:color="auto" w:fill="auto"/>
            <w:noWrap/>
            <w:vAlign w:val="center"/>
            <w:hideMark/>
          </w:tcPr>
          <w:p w14:paraId="719E3464"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5D4CDAE9"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6876FCC6" w14:textId="77777777" w:rsidR="006F3E1C" w:rsidRPr="006F3E1C" w:rsidRDefault="006F3E1C" w:rsidP="00832626">
            <w:pPr>
              <w:jc w:val="right"/>
              <w:rPr>
                <w:szCs w:val="24"/>
              </w:rPr>
            </w:pPr>
          </w:p>
        </w:tc>
        <w:tc>
          <w:tcPr>
            <w:tcW w:w="0" w:type="auto"/>
            <w:tcBorders>
              <w:top w:val="nil"/>
              <w:left w:val="nil"/>
              <w:bottom w:val="nil"/>
              <w:right w:val="nil"/>
            </w:tcBorders>
            <w:shd w:val="clear" w:color="auto" w:fill="auto"/>
            <w:noWrap/>
            <w:vAlign w:val="center"/>
          </w:tcPr>
          <w:p w14:paraId="37CC39DB" w14:textId="77777777" w:rsidR="006F3E1C" w:rsidRPr="006F3E1C" w:rsidRDefault="006F3E1C" w:rsidP="00832626">
            <w:pPr>
              <w:jc w:val="right"/>
              <w:rPr>
                <w:color w:val="000000"/>
                <w:szCs w:val="24"/>
                <w:lang w:val="en-US"/>
              </w:rPr>
            </w:pPr>
            <w:r w:rsidRPr="006F3E1C">
              <w:rPr>
                <w:color w:val="000000"/>
                <w:szCs w:val="24"/>
                <w:lang w:val="en-US"/>
              </w:rPr>
              <w:t>0.313</w:t>
            </w:r>
          </w:p>
        </w:tc>
        <w:tc>
          <w:tcPr>
            <w:tcW w:w="0" w:type="auto"/>
            <w:tcBorders>
              <w:top w:val="nil"/>
              <w:left w:val="nil"/>
              <w:bottom w:val="nil"/>
              <w:right w:val="nil"/>
            </w:tcBorders>
            <w:shd w:val="clear" w:color="auto" w:fill="auto"/>
            <w:noWrap/>
            <w:vAlign w:val="center"/>
          </w:tcPr>
          <w:p w14:paraId="30D45F0D" w14:textId="77777777" w:rsidR="006F3E1C" w:rsidRPr="006F3E1C" w:rsidRDefault="006F3E1C" w:rsidP="00832626">
            <w:pPr>
              <w:jc w:val="right"/>
              <w:rPr>
                <w:color w:val="000000"/>
                <w:szCs w:val="24"/>
                <w:lang w:val="en-US"/>
              </w:rPr>
            </w:pPr>
            <w:r w:rsidRPr="006F3E1C">
              <w:rPr>
                <w:color w:val="000000"/>
                <w:szCs w:val="24"/>
                <w:lang w:val="en-US"/>
              </w:rPr>
              <w:t>0.489</w:t>
            </w:r>
          </w:p>
        </w:tc>
      </w:tr>
      <w:tr w:rsidR="006F3E1C" w:rsidRPr="006F3E1C" w14:paraId="407B95EC" w14:textId="77777777" w:rsidTr="00832626">
        <w:trPr>
          <w:trHeight w:val="300"/>
        </w:trPr>
        <w:tc>
          <w:tcPr>
            <w:tcW w:w="0" w:type="auto"/>
            <w:tcBorders>
              <w:top w:val="nil"/>
              <w:left w:val="nil"/>
              <w:bottom w:val="single" w:sz="4" w:space="0" w:color="auto"/>
              <w:right w:val="nil"/>
            </w:tcBorders>
            <w:shd w:val="clear" w:color="auto" w:fill="auto"/>
            <w:noWrap/>
            <w:vAlign w:val="center"/>
            <w:hideMark/>
          </w:tcPr>
          <w:p w14:paraId="20E618EE" w14:textId="77777777" w:rsidR="006F3E1C" w:rsidRPr="006F3E1C" w:rsidRDefault="006F3E1C" w:rsidP="00832626">
            <w:pPr>
              <w:rPr>
                <w:color w:val="000000"/>
                <w:szCs w:val="24"/>
              </w:rPr>
            </w:pPr>
            <w:r w:rsidRPr="006F3E1C">
              <w:rPr>
                <w:color w:val="000000"/>
                <w:szCs w:val="24"/>
              </w:rPr>
              <w:t>X3 x M</w:t>
            </w:r>
          </w:p>
        </w:tc>
        <w:tc>
          <w:tcPr>
            <w:tcW w:w="0" w:type="auto"/>
            <w:tcBorders>
              <w:top w:val="nil"/>
              <w:left w:val="nil"/>
              <w:bottom w:val="single" w:sz="4" w:space="0" w:color="auto"/>
              <w:right w:val="nil"/>
            </w:tcBorders>
            <w:shd w:val="clear" w:color="auto" w:fill="auto"/>
            <w:noWrap/>
            <w:vAlign w:val="center"/>
            <w:hideMark/>
          </w:tcPr>
          <w:p w14:paraId="365729F2" w14:textId="77777777" w:rsidR="006F3E1C" w:rsidRPr="006F3E1C" w:rsidRDefault="006F3E1C" w:rsidP="00832626">
            <w:pPr>
              <w:jc w:val="right"/>
              <w:rPr>
                <w:color w:val="000000"/>
                <w:szCs w:val="24"/>
              </w:rPr>
            </w:pPr>
            <w:r w:rsidRPr="006F3E1C">
              <w:rPr>
                <w:color w:val="000000"/>
                <w:szCs w:val="24"/>
              </w:rPr>
              <w:t> </w:t>
            </w:r>
          </w:p>
        </w:tc>
        <w:tc>
          <w:tcPr>
            <w:tcW w:w="0" w:type="auto"/>
            <w:tcBorders>
              <w:top w:val="nil"/>
              <w:left w:val="nil"/>
              <w:bottom w:val="single" w:sz="4" w:space="0" w:color="auto"/>
              <w:right w:val="nil"/>
            </w:tcBorders>
            <w:shd w:val="clear" w:color="auto" w:fill="auto"/>
            <w:noWrap/>
            <w:vAlign w:val="center"/>
            <w:hideMark/>
          </w:tcPr>
          <w:p w14:paraId="48F0E754" w14:textId="77777777" w:rsidR="006F3E1C" w:rsidRPr="006F3E1C" w:rsidRDefault="006F3E1C" w:rsidP="00832626">
            <w:pPr>
              <w:jc w:val="right"/>
              <w:rPr>
                <w:color w:val="000000"/>
                <w:szCs w:val="24"/>
              </w:rPr>
            </w:pPr>
            <w:r w:rsidRPr="006F3E1C">
              <w:rPr>
                <w:color w:val="000000"/>
                <w:szCs w:val="24"/>
              </w:rPr>
              <w:t> </w:t>
            </w:r>
          </w:p>
        </w:tc>
        <w:tc>
          <w:tcPr>
            <w:tcW w:w="0" w:type="auto"/>
            <w:tcBorders>
              <w:top w:val="nil"/>
              <w:left w:val="nil"/>
              <w:bottom w:val="single" w:sz="4" w:space="0" w:color="auto"/>
              <w:right w:val="nil"/>
            </w:tcBorders>
            <w:shd w:val="clear" w:color="auto" w:fill="auto"/>
            <w:noWrap/>
            <w:vAlign w:val="center"/>
          </w:tcPr>
          <w:p w14:paraId="5CE7671E" w14:textId="77777777" w:rsidR="006F3E1C" w:rsidRPr="006F3E1C" w:rsidRDefault="006F3E1C" w:rsidP="00832626">
            <w:pPr>
              <w:jc w:val="right"/>
              <w:rPr>
                <w:color w:val="000000"/>
                <w:szCs w:val="24"/>
              </w:rPr>
            </w:pPr>
          </w:p>
        </w:tc>
        <w:tc>
          <w:tcPr>
            <w:tcW w:w="0" w:type="auto"/>
            <w:tcBorders>
              <w:top w:val="nil"/>
              <w:left w:val="nil"/>
              <w:bottom w:val="single" w:sz="4" w:space="0" w:color="auto"/>
              <w:right w:val="nil"/>
            </w:tcBorders>
            <w:shd w:val="clear" w:color="auto" w:fill="auto"/>
            <w:noWrap/>
            <w:vAlign w:val="center"/>
          </w:tcPr>
          <w:p w14:paraId="346BCF6D" w14:textId="77777777" w:rsidR="006F3E1C" w:rsidRPr="006F3E1C" w:rsidRDefault="006F3E1C" w:rsidP="00832626">
            <w:pPr>
              <w:jc w:val="right"/>
              <w:rPr>
                <w:color w:val="000000"/>
                <w:szCs w:val="24"/>
              </w:rPr>
            </w:pPr>
          </w:p>
        </w:tc>
        <w:tc>
          <w:tcPr>
            <w:tcW w:w="0" w:type="auto"/>
            <w:tcBorders>
              <w:top w:val="nil"/>
              <w:left w:val="nil"/>
              <w:bottom w:val="single" w:sz="4" w:space="0" w:color="auto"/>
              <w:right w:val="nil"/>
            </w:tcBorders>
            <w:shd w:val="clear" w:color="auto" w:fill="auto"/>
            <w:noWrap/>
            <w:vAlign w:val="center"/>
          </w:tcPr>
          <w:p w14:paraId="27016729" w14:textId="77777777" w:rsidR="006F3E1C" w:rsidRPr="006F3E1C" w:rsidRDefault="006F3E1C" w:rsidP="00832626">
            <w:pPr>
              <w:jc w:val="right"/>
              <w:rPr>
                <w:color w:val="000000"/>
                <w:szCs w:val="24"/>
                <w:lang w:val="en-US"/>
              </w:rPr>
            </w:pPr>
            <w:r w:rsidRPr="006F3E1C">
              <w:rPr>
                <w:color w:val="000000"/>
                <w:szCs w:val="24"/>
                <w:lang w:val="en-US"/>
              </w:rPr>
              <w:t>0.048**</w:t>
            </w:r>
          </w:p>
        </w:tc>
        <w:tc>
          <w:tcPr>
            <w:tcW w:w="0" w:type="auto"/>
            <w:tcBorders>
              <w:top w:val="nil"/>
              <w:left w:val="nil"/>
              <w:bottom w:val="single" w:sz="4" w:space="0" w:color="auto"/>
              <w:right w:val="nil"/>
            </w:tcBorders>
            <w:shd w:val="clear" w:color="auto" w:fill="auto"/>
            <w:noWrap/>
            <w:vAlign w:val="center"/>
          </w:tcPr>
          <w:p w14:paraId="7BDF4C35" w14:textId="77777777" w:rsidR="006F3E1C" w:rsidRPr="006F3E1C" w:rsidRDefault="006F3E1C" w:rsidP="00832626">
            <w:pPr>
              <w:jc w:val="right"/>
              <w:rPr>
                <w:color w:val="000000"/>
                <w:szCs w:val="24"/>
                <w:lang w:val="en-US"/>
              </w:rPr>
            </w:pPr>
            <w:r w:rsidRPr="006F3E1C">
              <w:rPr>
                <w:color w:val="000000"/>
                <w:szCs w:val="24"/>
                <w:lang w:val="en-US"/>
              </w:rPr>
              <w:t>0.021</w:t>
            </w:r>
          </w:p>
        </w:tc>
      </w:tr>
      <w:tr w:rsidR="006F3E1C" w:rsidRPr="006F3E1C" w14:paraId="1B495EC0" w14:textId="77777777" w:rsidTr="00832626">
        <w:trPr>
          <w:trHeight w:val="300"/>
        </w:trPr>
        <w:tc>
          <w:tcPr>
            <w:tcW w:w="0" w:type="auto"/>
            <w:tcBorders>
              <w:top w:val="nil"/>
              <w:left w:val="nil"/>
              <w:bottom w:val="single" w:sz="4" w:space="0" w:color="auto"/>
              <w:right w:val="nil"/>
            </w:tcBorders>
            <w:shd w:val="clear" w:color="auto" w:fill="auto"/>
            <w:noWrap/>
            <w:vAlign w:val="center"/>
          </w:tcPr>
          <w:p w14:paraId="6033648F" w14:textId="77777777" w:rsidR="006F3E1C" w:rsidRPr="006F3E1C" w:rsidRDefault="006F3E1C" w:rsidP="00832626">
            <w:pPr>
              <w:rPr>
                <w:color w:val="000000"/>
                <w:szCs w:val="24"/>
                <w:lang w:val="en-US"/>
              </w:rPr>
            </w:pPr>
            <w:r w:rsidRPr="006F3E1C">
              <w:rPr>
                <w:color w:val="000000"/>
                <w:szCs w:val="24"/>
                <w:lang w:val="en-US"/>
              </w:rPr>
              <w:t>F-Statistics</w:t>
            </w:r>
          </w:p>
        </w:tc>
        <w:tc>
          <w:tcPr>
            <w:tcW w:w="0" w:type="auto"/>
            <w:gridSpan w:val="2"/>
            <w:tcBorders>
              <w:top w:val="nil"/>
              <w:left w:val="nil"/>
              <w:bottom w:val="single" w:sz="4" w:space="0" w:color="auto"/>
              <w:right w:val="nil"/>
            </w:tcBorders>
            <w:shd w:val="clear" w:color="auto" w:fill="auto"/>
            <w:noWrap/>
            <w:vAlign w:val="center"/>
          </w:tcPr>
          <w:p w14:paraId="2EA5BC62" w14:textId="77777777" w:rsidR="006F3E1C" w:rsidRPr="006F3E1C" w:rsidRDefault="006F3E1C" w:rsidP="00832626">
            <w:pPr>
              <w:jc w:val="right"/>
              <w:rPr>
                <w:color w:val="000000"/>
                <w:szCs w:val="24"/>
              </w:rPr>
            </w:pPr>
            <w:r w:rsidRPr="006F3E1C">
              <w:rPr>
                <w:color w:val="000000"/>
                <w:szCs w:val="24"/>
                <w:lang w:val="en-US"/>
              </w:rPr>
              <w:t>4,278**</w:t>
            </w:r>
          </w:p>
        </w:tc>
        <w:tc>
          <w:tcPr>
            <w:tcW w:w="0" w:type="auto"/>
            <w:gridSpan w:val="2"/>
            <w:tcBorders>
              <w:top w:val="nil"/>
              <w:left w:val="nil"/>
              <w:bottom w:val="single" w:sz="4" w:space="0" w:color="auto"/>
              <w:right w:val="nil"/>
            </w:tcBorders>
            <w:shd w:val="clear" w:color="auto" w:fill="auto"/>
            <w:noWrap/>
            <w:vAlign w:val="center"/>
          </w:tcPr>
          <w:p w14:paraId="2738CDCD" w14:textId="77777777" w:rsidR="006F3E1C" w:rsidRPr="006F3E1C" w:rsidRDefault="006F3E1C" w:rsidP="00832626">
            <w:pPr>
              <w:jc w:val="right"/>
              <w:rPr>
                <w:color w:val="000000"/>
                <w:szCs w:val="24"/>
              </w:rPr>
            </w:pPr>
            <w:r w:rsidRPr="006F3E1C">
              <w:rPr>
                <w:color w:val="000000"/>
                <w:szCs w:val="24"/>
                <w:lang w:val="en-US"/>
              </w:rPr>
              <w:t>3,565**</w:t>
            </w:r>
          </w:p>
        </w:tc>
        <w:tc>
          <w:tcPr>
            <w:tcW w:w="0" w:type="auto"/>
            <w:gridSpan w:val="2"/>
            <w:tcBorders>
              <w:top w:val="nil"/>
              <w:left w:val="nil"/>
              <w:bottom w:val="single" w:sz="4" w:space="0" w:color="auto"/>
              <w:right w:val="nil"/>
            </w:tcBorders>
            <w:shd w:val="clear" w:color="auto" w:fill="auto"/>
            <w:noWrap/>
            <w:vAlign w:val="center"/>
          </w:tcPr>
          <w:p w14:paraId="493BEEEA" w14:textId="77777777" w:rsidR="006F3E1C" w:rsidRPr="006F3E1C" w:rsidRDefault="006F3E1C" w:rsidP="00832626">
            <w:pPr>
              <w:jc w:val="right"/>
              <w:rPr>
                <w:color w:val="000000"/>
                <w:szCs w:val="24"/>
                <w:lang w:val="en-US"/>
              </w:rPr>
            </w:pPr>
            <w:r w:rsidRPr="006F3E1C">
              <w:rPr>
                <w:color w:val="000000"/>
                <w:szCs w:val="24"/>
                <w:lang w:val="en-US"/>
              </w:rPr>
              <w:t>3,123**</w:t>
            </w:r>
          </w:p>
        </w:tc>
      </w:tr>
      <w:tr w:rsidR="006F3E1C" w:rsidRPr="006F3E1C" w14:paraId="04B8A886" w14:textId="77777777" w:rsidTr="00832626">
        <w:trPr>
          <w:trHeight w:val="300"/>
        </w:trPr>
        <w:tc>
          <w:tcPr>
            <w:tcW w:w="0" w:type="auto"/>
            <w:tcBorders>
              <w:top w:val="nil"/>
              <w:left w:val="nil"/>
              <w:bottom w:val="single" w:sz="4" w:space="0" w:color="auto"/>
              <w:right w:val="nil"/>
            </w:tcBorders>
            <w:shd w:val="clear" w:color="auto" w:fill="auto"/>
            <w:noWrap/>
            <w:vAlign w:val="center"/>
          </w:tcPr>
          <w:p w14:paraId="68C4BA1F" w14:textId="77777777" w:rsidR="006F3E1C" w:rsidRPr="006F3E1C" w:rsidRDefault="006F3E1C" w:rsidP="00832626">
            <w:pPr>
              <w:rPr>
                <w:color w:val="000000"/>
                <w:szCs w:val="24"/>
                <w:lang w:val="en-US"/>
              </w:rPr>
            </w:pPr>
            <w:r w:rsidRPr="006F3E1C">
              <w:rPr>
                <w:color w:val="000000"/>
                <w:szCs w:val="24"/>
                <w:lang w:val="en-US"/>
              </w:rPr>
              <w:t>R Square</w:t>
            </w:r>
          </w:p>
        </w:tc>
        <w:tc>
          <w:tcPr>
            <w:tcW w:w="0" w:type="auto"/>
            <w:gridSpan w:val="2"/>
            <w:tcBorders>
              <w:top w:val="nil"/>
              <w:left w:val="nil"/>
              <w:bottom w:val="single" w:sz="4" w:space="0" w:color="auto"/>
              <w:right w:val="nil"/>
            </w:tcBorders>
            <w:shd w:val="clear" w:color="auto" w:fill="auto"/>
            <w:noWrap/>
            <w:vAlign w:val="center"/>
          </w:tcPr>
          <w:p w14:paraId="5E253750" w14:textId="77777777" w:rsidR="006F3E1C" w:rsidRPr="006F3E1C" w:rsidRDefault="006F3E1C" w:rsidP="00832626">
            <w:pPr>
              <w:jc w:val="right"/>
              <w:rPr>
                <w:color w:val="000000"/>
                <w:szCs w:val="24"/>
                <w:lang w:val="en-US"/>
              </w:rPr>
            </w:pPr>
            <w:r w:rsidRPr="006F3E1C">
              <w:rPr>
                <w:color w:val="000000"/>
                <w:szCs w:val="24"/>
                <w:lang w:val="en-US"/>
              </w:rPr>
              <w:t>6.50%</w:t>
            </w:r>
          </w:p>
        </w:tc>
        <w:tc>
          <w:tcPr>
            <w:tcW w:w="0" w:type="auto"/>
            <w:gridSpan w:val="2"/>
            <w:tcBorders>
              <w:top w:val="nil"/>
              <w:left w:val="nil"/>
              <w:bottom w:val="single" w:sz="4" w:space="0" w:color="auto"/>
              <w:right w:val="nil"/>
            </w:tcBorders>
            <w:shd w:val="clear" w:color="auto" w:fill="auto"/>
            <w:noWrap/>
            <w:vAlign w:val="center"/>
          </w:tcPr>
          <w:p w14:paraId="54C7E229" w14:textId="77777777" w:rsidR="006F3E1C" w:rsidRPr="006F3E1C" w:rsidRDefault="006F3E1C" w:rsidP="00832626">
            <w:pPr>
              <w:jc w:val="right"/>
              <w:rPr>
                <w:color w:val="000000"/>
                <w:szCs w:val="24"/>
                <w:lang w:val="en-US"/>
              </w:rPr>
            </w:pPr>
            <w:r w:rsidRPr="006F3E1C">
              <w:rPr>
                <w:color w:val="000000"/>
                <w:szCs w:val="24"/>
                <w:lang w:val="en-US"/>
              </w:rPr>
              <w:t>7.20%</w:t>
            </w:r>
          </w:p>
        </w:tc>
        <w:tc>
          <w:tcPr>
            <w:tcW w:w="0" w:type="auto"/>
            <w:gridSpan w:val="2"/>
            <w:tcBorders>
              <w:top w:val="nil"/>
              <w:left w:val="nil"/>
              <w:bottom w:val="single" w:sz="4" w:space="0" w:color="auto"/>
              <w:right w:val="nil"/>
            </w:tcBorders>
            <w:shd w:val="clear" w:color="auto" w:fill="auto"/>
            <w:noWrap/>
            <w:vAlign w:val="center"/>
          </w:tcPr>
          <w:p w14:paraId="133C2087" w14:textId="77777777" w:rsidR="006F3E1C" w:rsidRPr="006F3E1C" w:rsidRDefault="006F3E1C" w:rsidP="00832626">
            <w:pPr>
              <w:jc w:val="right"/>
              <w:rPr>
                <w:color w:val="000000"/>
                <w:szCs w:val="24"/>
                <w:lang w:val="en-US"/>
              </w:rPr>
            </w:pPr>
            <w:r w:rsidRPr="006F3E1C">
              <w:rPr>
                <w:color w:val="000000"/>
                <w:szCs w:val="24"/>
                <w:lang w:val="en-US"/>
              </w:rPr>
              <w:t>10.80%</w:t>
            </w:r>
          </w:p>
        </w:tc>
      </w:tr>
      <w:tr w:rsidR="006F3E1C" w:rsidRPr="006F3E1C" w14:paraId="33A12C5C" w14:textId="77777777" w:rsidTr="00832626">
        <w:trPr>
          <w:trHeight w:val="300"/>
        </w:trPr>
        <w:tc>
          <w:tcPr>
            <w:tcW w:w="0" w:type="auto"/>
            <w:gridSpan w:val="7"/>
            <w:tcBorders>
              <w:top w:val="nil"/>
              <w:left w:val="nil"/>
              <w:bottom w:val="nil"/>
              <w:right w:val="nil"/>
            </w:tcBorders>
            <w:shd w:val="clear" w:color="auto" w:fill="auto"/>
            <w:noWrap/>
            <w:vAlign w:val="center"/>
            <w:hideMark/>
          </w:tcPr>
          <w:p w14:paraId="3B25C91D" w14:textId="77777777" w:rsidR="006F3E1C" w:rsidRPr="006F3E1C" w:rsidRDefault="006F3E1C" w:rsidP="00832626">
            <w:pPr>
              <w:rPr>
                <w:color w:val="000000"/>
                <w:szCs w:val="24"/>
              </w:rPr>
            </w:pPr>
            <w:r w:rsidRPr="006F3E1C">
              <w:rPr>
                <w:color w:val="000000"/>
                <w:szCs w:val="24"/>
              </w:rPr>
              <w:t>***significant at level p&lt;0.01; ** significant at level p&lt;0.05; * significant at level p&lt;0.10</w:t>
            </w:r>
          </w:p>
        </w:tc>
      </w:tr>
    </w:tbl>
    <w:p w14:paraId="492FA28F" w14:textId="77777777" w:rsidR="006F3E1C" w:rsidRPr="006F3E1C" w:rsidRDefault="006F3E1C" w:rsidP="006F3E1C">
      <w:pPr>
        <w:pStyle w:val="DaftarParagraf"/>
        <w:ind w:left="0" w:firstLine="720"/>
        <w:jc w:val="both"/>
        <w:rPr>
          <w:szCs w:val="24"/>
          <w:lang w:val="en-US"/>
        </w:rPr>
      </w:pPr>
    </w:p>
    <w:p w14:paraId="437C1952" w14:textId="77777777" w:rsidR="006F3E1C" w:rsidRPr="006F3E1C" w:rsidRDefault="006F3E1C" w:rsidP="006F3E1C">
      <w:pPr>
        <w:pStyle w:val="DaftarParagraf"/>
        <w:ind w:left="0" w:firstLine="720"/>
        <w:jc w:val="both"/>
        <w:rPr>
          <w:szCs w:val="24"/>
          <w:lang w:val="en-US"/>
        </w:rPr>
      </w:pPr>
      <w:r w:rsidRPr="006F3E1C">
        <w:rPr>
          <w:szCs w:val="24"/>
          <w:lang w:val="en-US"/>
        </w:rPr>
        <w:t>Based on the results of hypothesis testing presented in Table 4, in Model 1 the results show that the Beta Factor (X1) and Financial Distress (X3) have coefficients of 0.115 and 0.018 respectively which are not significant, while Interest Rate Risk (X2) shows a coefficient of 0.111 which is significant at the 5% level (p&lt;0.05), indicating that an increase in interest rate risk is positively related to stock returns. Model 2 shows that the Beta (X1) and Financial Distress (X3) factors remain insignificant with coefficients of 0.115 and 0.010 respectively. Interest Rate Risk (X2) remains significant with a coefficient of 0.109 at the 5% level (p&lt;0.05). ROA itself has a coefficient of 0.182 which is not significant. In Model 3, the coefficient of the Beta Factor (X1) increases to 0.252 but is still not significant. Interest Rate Risk (X2) shows a coefficient decrease to 0.093 which is significant at the 10% level (p&lt;0.10), and Financial Distress (X3) becomes insignificant with a coefficient of 0.007. ROA in the moderation model has a coefficient of 0.374 which is not significant. From the interaction of variables, F-Statistics for all models show significant values at the 5% level (p&lt;0.05), indicating that the models used as a whole are significant. The R Square value increased from 6.50% in Model 1, to 7.20% in Model 2, and reached 10.80% in Model 3, indicating an increase in the model's ability to explain stock return variability with moderation in company performance. Overall, the results of this research show that interest rate risk and the interaction between financial distress and company performance have a significant influence on stock returns of companies indexed LQ45 on the Indonesia Stock Exchange.</w:t>
      </w:r>
    </w:p>
    <w:p w14:paraId="21E1F2AF" w14:textId="0AE442AC" w:rsidR="006F3E1C" w:rsidRPr="006F3E1C" w:rsidRDefault="006F3E1C" w:rsidP="006F3E1C">
      <w:pPr>
        <w:spacing w:after="240"/>
        <w:ind w:firstLine="450"/>
        <w:jc w:val="both"/>
        <w:rPr>
          <w:szCs w:val="24"/>
        </w:rPr>
      </w:pPr>
      <w:r w:rsidRPr="006F3E1C">
        <w:rPr>
          <w:szCs w:val="24"/>
          <w:lang w:val="en-US"/>
        </w:rPr>
        <w:t>Based on the results of hypothesis testing presented in Table 4, this analysis discusses the influence of beta factors, interest rate risk, financial distress, and the role of company performance (ROA) as moderating variables on stock returns of companies listed on the Indonesia Stock Exchange in the 2019-2023 period. H1 states that the beta factor influences stock returns. In the three models tested, the beta factor coefficient (X1) shows an insignificant value, with Models 1 and 2 having a coefficient of 0.115 and Model 3 increasing to 0.252. This indicates that the beta factor does not have a significant influence on stock returns in this research sample. H2 states that interest rate risk influences stock returns. The test results show that interest rate risk (X2) has a significant effect on Model 1 and Model 2, with coefficients of 0.111 and 0.109 respectively at the 5% significance level (p&lt;0.05). In Model 3, the effect of interest rate risk remains significant with a coefficient of 0.093 at the 10% significance level (p&lt;0.10), supporting the hypothesis H2 that interest rate risk has a positive influence on stock returns. H3 states that financial distress has an effect on stock returns. The test results show that financial distress (X3) is only significant in Model 1 with a coefficient of 0.018 at a significance level of 10% (p&lt;0.10). However, in Model 2 and Model 3, the financial distress coefficient is not significant. This shows that the influence of financial distress on stock returns is weak and inconsistent. H4 states that company performance (ROA) moderates the influence of the beta factor on stock returns. Model 3 test results show that the interaction between beta factors and ROA (X1 x M) is not significant with a coefficient of -1.839. Therefore, hypothesis H4 is not supported by the data. H5 states that company performance (ROA) moderates the influence of interest rate risk on stock returns. The test results show that the interaction between interest rate risk and ROA (X2 x M) is not significant with a coefficient of 0.313, so hypothesis H5 is not supported by the data. H6 states that company performance (ROA) moderates the effect of financial distress on stock returns. The test results in Model 3 show that the interaction between financial distress and ROA (X3 x M) is significant at the 5% level (p&lt;0.05) with a coefficient of 0.048. This indicates that company performance (ROA) strengthens the effect of financial distress on stock returns, supporting hypothesis H6. Overall, this research shows that interest rate risk has a significant influence on stock returns, while the moderating role of company performance (ROA) is significant in strengthening the influence of financial distress on stock returns. However, the beta factor does not show a significant influence on stock returns, and company performance does not moderate the influence of the beta factor or interest rate risk on stock returns in this study.</w:t>
      </w:r>
    </w:p>
    <w:p w14:paraId="0000001A" w14:textId="77777777" w:rsidR="002C3D2B" w:rsidRPr="006F3E1C" w:rsidRDefault="00EF6A6E">
      <w:pPr>
        <w:pStyle w:val="Judul1"/>
        <w:numPr>
          <w:ilvl w:val="1"/>
          <w:numId w:val="2"/>
        </w:numPr>
        <w:spacing w:after="60"/>
        <w:rPr>
          <w:b w:val="0"/>
          <w:sz w:val="24"/>
          <w:szCs w:val="24"/>
        </w:rPr>
      </w:pPr>
      <w:r w:rsidRPr="006F3E1C">
        <w:rPr>
          <w:i w:val="0"/>
          <w:sz w:val="24"/>
          <w:szCs w:val="24"/>
        </w:rPr>
        <w:t>Discussion</w:t>
      </w:r>
    </w:p>
    <w:p w14:paraId="3449E1BE" w14:textId="7AA1A9F5" w:rsidR="006F3E1C" w:rsidRPr="0097399E" w:rsidRDefault="006F3E1C" w:rsidP="006F3E1C">
      <w:pPr>
        <w:ind w:firstLine="720"/>
        <w:jc w:val="both"/>
        <w:rPr>
          <w:szCs w:val="24"/>
          <w:lang w:val="en-MY"/>
        </w:rPr>
      </w:pPr>
      <w:r w:rsidRPr="0097399E">
        <w:rPr>
          <w:szCs w:val="24"/>
          <w:lang w:val="en-MY"/>
        </w:rPr>
        <w:t xml:space="preserve">The first hypothesis (H1) which states that the beta factor influences stock returns in LQ45 indexed companies listed on the Indonesia Stock Exchange for the 2019-2023 period is not supported by the results of this research. These findings indicate that the beta factor, which is usually measured as the level of systematic risk of a stock relative to the market, does not have a significant influence on stock returns in the context of LQ45 companies during the research period. This is contrary to the classic portfolio theory put forward by </w:t>
      </w:r>
      <w:r w:rsidRPr="0097399E">
        <w:rPr>
          <w:szCs w:val="24"/>
          <w:lang w:val="en-MY"/>
        </w:rPr>
        <w:fldChar w:fldCharType="begin" w:fldLock="1"/>
      </w:r>
      <w:r w:rsidR="00D24D1C">
        <w:rPr>
          <w:szCs w:val="24"/>
          <w:lang w:val="en-MY"/>
        </w:rPr>
        <w:instrText>ADDIN CSL_CITATION {"citationItems":[{"id":"ITEM-1","itemData":{"DOI":"10.1111/j.1540-6261.1964.tb02865.x","ISSN":"15406261","author":[{"dropping-particle":"","family":"Sharpe","given":"William F.","non-dropping-particle":"","parse-names":false,"suffix":""}],"container-title":"The Journal of Finance","id":"ITEM-1","issue":"3","issued":{"date-parts":[["1964"]]},"page":"425-442","title":"Capital Asset Prices: a Theory of Market Equilibrium Under Conditions of Risk","type":"article-journal","volume":"19"},"uris":["http://www.mendeley.com/documents/?uuid=09a4f84e-9331-427c-83ac-70b1a0adc9cd"]}],"mendeley":{"formattedCitation":"(Sharpe, 1964)","manualFormatting":"Sharpe (1964) ","plainTextFormattedCitation":"(Sharpe, 1964)","previouslyFormattedCitation":"(Sharpe, 1964)"},"properties":{"noteIndex":0},"schema":"https://github.com/citation-style-language/schema/raw/master/csl-citation.json"}</w:instrText>
      </w:r>
      <w:r w:rsidRPr="0097399E">
        <w:rPr>
          <w:szCs w:val="24"/>
          <w:lang w:val="en-MY"/>
        </w:rPr>
        <w:fldChar w:fldCharType="separate"/>
      </w:r>
      <w:r w:rsidRPr="0097399E">
        <w:rPr>
          <w:noProof/>
          <w:szCs w:val="24"/>
          <w:lang w:val="en-MY"/>
        </w:rPr>
        <w:t xml:space="preserve">Sharpe (1964) </w:t>
      </w:r>
      <w:r w:rsidRPr="0097399E">
        <w:rPr>
          <w:szCs w:val="24"/>
          <w:lang w:val="en-MY"/>
        </w:rPr>
        <w:fldChar w:fldCharType="end"/>
      </w:r>
      <w:r w:rsidRPr="0097399E">
        <w:rPr>
          <w:szCs w:val="24"/>
          <w:lang w:val="en-MY"/>
        </w:rPr>
        <w:t xml:space="preserve">, which states that beta is a risk indicator that influences expected stock returns. Apart from that, these results also contradict several previous studies such as research by Fama and </w:t>
      </w:r>
      <w:r w:rsidRPr="0097399E">
        <w:rPr>
          <w:szCs w:val="24"/>
          <w:lang w:val="en-MY"/>
        </w:rPr>
        <w:fldChar w:fldCharType="begin" w:fldLock="1"/>
      </w:r>
      <w:r w:rsidR="00D24D1C">
        <w:rPr>
          <w:szCs w:val="24"/>
          <w:lang w:val="en-MY"/>
        </w:rPr>
        <w:instrText>ADDIN CSL_CITATION {"citationItems":[{"id":"ITEM-1","itemData":{"abstract":"This research aims to analyze whether trading factors, risk based factor and firm characteristics influence LQ45 firm stock returns that are listed in Indonesia Stock Exchange. This research use sample of LQ45 firms in Indonesia Stock Exchange. The data chosen is time series from 2013-2016. The variable used in this research consist of dependent and independent variables. Dependent variable in this research is firm stock returns and the independent variables are trading volume, bid-ask spread, beta, firm size and market to book value (MBV). This research use multiple regression analysis using software SPSS 23 to analyze the relation of independent variables to dependent variable. As the result, out of 5 independent variables there are 4 independent variables that positively and significantly influence firm stock return. They are consist of trading volume, bid-ask spread, beta and market to book value (MBV). Meanwhile firm size doesn’t influence firm stock returns significantly.","author":[{"dropping-particle":"","family":"Utami","given":"Nandya Sarah","non-dropping-particle":"","parse-names":false,"suffix":""},{"dropping-particle":"","family":"Isnurhadi","given":"","non-dropping-particle":"","parse-names":false,"suffix":""},{"dropping-particle":"","family":"Aj","given":"Umar Hamdan","non-dropping-particle":"","parse-names":false,"suffix":""}],"container-title":"Jurnal Ilmiah Manajemen Bisnis dan Terapan","id":"ITEM-1","issue":"1","issued":{"date-parts":[["2018"]]},"page":"9-22","title":"Characteristics As Determinants of Lq45 Firm Stock","type":"article-journal","volume":"15"},"uris":["http://www.mendeley.com/documents/?uuid=8e196836-1563-4522-a86d-8e6c1faddfd2"]}],"mendeley":{"formattedCitation":"(Utami et al., 2018)"},"properties":{"noteIndex":0},"schema":"https://github.com/citation-style-language/schema/raw/master/csl-citation.json"}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(Utami et al., 2018)</w:t>
      </w:r>
      <w:r w:rsidRPr="0097399E">
        <w:rPr>
          <w:szCs w:val="24"/>
          <w:lang w:val="en-MY"/>
        </w:rPr>
        <w:fldChar w:fldCharType="end"/>
      </w:r>
      <w:r w:rsidRPr="0097399E">
        <w:rPr>
          <w:szCs w:val="24"/>
          <w:lang w:val="en-MY"/>
        </w:rPr>
        <w:t xml:space="preserve">and </w:t>
      </w:r>
      <w:r w:rsidRPr="0097399E">
        <w:rPr>
          <w:szCs w:val="24"/>
          <w:lang w:val="en-MY"/>
        </w:rPr>
        <w:fldChar w:fldCharType="begin" w:fldLock="1"/>
      </w:r>
      <w:r w:rsidR="00D24D1C">
        <w:rPr>
          <w:szCs w:val="24"/>
          <w:lang w:val="en-MY"/>
        </w:rPr>
        <w:instrText>ADDIN CSL_CITATION {"citationItems":[{"id":"ITEM-1","itemData":{"DOI":"10.18488/journal.aefr.2020.1011.1259.1268","ISSN":"22226737","abstract":"The purpose of this study is to examine how different firm-specific factors influence the stock returns of 29 private commercial banks (PCBs) listed on the Dhaka Stock Exchange (DSE) in Bangladesh. The research applied time series, cross-sectional and panel data models focusing on external and internal factors influencing the stock return of developed stock markets. Very little research has been conducted on how firm-specific factors influence the stock returns of developing or emerging stock markets. Considering the current scenario of the banking industry in Bangladesh, some major firm-specific factors must be taken into consideration to determine how these factors influence the stock returns of selected banks listed on DSE, while utilizing the panel data analysis to get more significant results. The study incorporates balanced panel data (3,712 observations) for the period 2009-2019 to investigate how firm beta (volatility), earnings per share (EPS), market to book value ratio (MTBV), firm size, volume of shares traded, and turnover by value influence the stock returns. The study incorporates the Hausman specification test and the Breusch–Pagan Lagrange Multiplier (LM) test, suggesting that fixed effect regression is more applicable than random effect regression. The findings show that the negative influence of firm beta and size is significant, whereas the positive influence of turnover by value and volume of shares traded on the stock returns is significant. The empirical analysis either supports or contradicts existing literature.","author":[{"dropping-particle":"","family":"Ferdaous","given":"Jannatul","non-dropping-particle":"","parse-names":false,"suffix":""},{"dropping-particle":"","family":"Barua","given":"Senjuti","non-dropping-particle":"","parse-names":false,"suffix":""}],"container-title":"Asian Economic and Financial Review","id":"ITEM-1","issue":"11","issued":{"date-parts":[["2020"]]},"page":"1259-1268","title":"Firm-specific factors and stock returns: Evidence from selected private commercial banks listed on the dhaka stock exchange","type":"article-journal","volume":"10"},"uris":["http://www.mendeley.com/documents/?uuid=88a4c755-9ad6-4fc1-bec5-e6c797f0ad6a"]}],"mendeley":{"formattedCitation":"(Ferdaous &amp; Barua, 2020)"},"properties":{"noteIndex":0},"schema":"https://github.com/citation-style-language/schema/raw/master/csl-citation.json"}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(Ferdaous &amp; Barua, 2020)</w:t>
      </w:r>
      <w:r w:rsidRPr="0097399E">
        <w:rPr>
          <w:szCs w:val="24"/>
          <w:lang w:val="en-MY"/>
        </w:rPr>
        <w:fldChar w:fldCharType="end"/>
      </w:r>
      <w:r w:rsidRPr="0097399E">
        <w:rPr>
          <w:szCs w:val="24"/>
          <w:lang w:val="en-MY"/>
        </w:rPr>
        <w:t>which found that beta has a significant relationship with stock returns. These differences in findings may be caused by different market conditions, especially in the Indonesian market, which may be influenced by other factors such as liquidity and market sentiment which are not fully reflected in beta.</w:t>
      </w:r>
    </w:p>
    <w:p w14:paraId="1165F44B" w14:textId="278515D0" w:rsidR="006F3E1C" w:rsidRPr="0097399E" w:rsidRDefault="006F3E1C" w:rsidP="006F3E1C">
      <w:pPr>
        <w:ind w:firstLine="720"/>
        <w:jc w:val="both"/>
        <w:rPr>
          <w:szCs w:val="24"/>
          <w:lang w:val="en-MY"/>
        </w:rPr>
      </w:pPr>
      <w:r w:rsidRPr="0097399E">
        <w:rPr>
          <w:szCs w:val="24"/>
          <w:lang w:val="en-MY"/>
        </w:rPr>
        <w:t xml:space="preserve">The second hypothesis (H2) which states that interest rate risk influences stock returns in LQ45 indexed companies listed on the Indonesia Stock Exchange for the 2019-2023 period is supported by the results of this research. The research results show that interest rate risk has a significant positive influence on stock returns. This finding is consistent with the financial management theory proposed by Modigliani and Miller (1958) in </w:t>
      </w:r>
      <w:r w:rsidRPr="0097399E">
        <w:rPr>
          <w:szCs w:val="24"/>
          <w:lang w:val="en-MY"/>
        </w:rPr>
        <w:fldChar w:fldCharType="begin" w:fldLock="1"/>
      </w:r>
      <w:r w:rsidR="00D24D1C">
        <w:rPr>
          <w:szCs w:val="24"/>
          <w:lang w:val="en-MY"/>
        </w:rPr>
        <w:instrText>ADDIN CSL_CITATION {"citationItems":[{"id":"ITEM-1","itemData":{"DOI":"10.1111/sjoe.12070","ISSN":"14679442","abstract":"The Nobel Memorial Prize in Economic Sciences for 2013 was awarded to Eugene Fama, Lars Peter Hansen, and Robert Shiller for their contributions to the empirical study of asset pricing. Some observers have found it hard to understand the common elements of the laureates' research, preferring to highlight areas of disagreement among them. In this paper, I argue that empirical asset pricing is a coherent enterprise, which owes much to the laureates' influential contributions, and that important themes in the literature can best be understood by considering the laureates in pairs. Specifically, after summarizing modern asset-pricing theory using the stochastic discount factor as an organizing framework, I discuss the following: the joint hypothesis problem in tests of market efficiency, which is as much an opportunity as a problem (Fama and Hansen); patterns of short- and long-term predictability in asset returns (Fama and Shiller); and models of deviations from rational expectations (Hansen and Shiller). I conclude by reviewing the ways in which the laureates have already influenced the practice of finance, and how they might influence future innovations. © The editors of The Scandinavian Journal of Economics 2014.","author":[{"dropping-particle":"","family":"Campbell","given":"John Y.","non-dropping-particle":"","parse-names":false,"suffix":""}],"container-title":"Scandinavian Journal of Economics","id":"ITEM-1","issue":"3","issued":{"date-parts":[["2014"]]},"page":"593-634","title":"Empirical Asset Pricing: Eugene Fama, Lars Peter Hansen, and Robert Shiller","type":"article-journal","volume":"116"},"uris":["http://www.mendeley.com/documents/?uuid=280f0840-fc0c-4757-a92f-a92bc6abb0ff"]}],"mendeley":{"formattedCitation":"(Campbell, 2014)"},"properties":{"noteIndex":0},"schema":"https://github.com/citation-style-language/schema/raw/master/csl-citation.json"}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(Campbell, 2014)</w:t>
      </w:r>
      <w:r w:rsidRPr="0097399E">
        <w:rPr>
          <w:szCs w:val="24"/>
          <w:lang w:val="en-MY"/>
        </w:rPr>
        <w:fldChar w:fldCharType="end"/>
      </w:r>
      <w:r w:rsidRPr="0097399E">
        <w:rPr>
          <w:szCs w:val="24"/>
          <w:lang w:val="en-MY"/>
        </w:rPr>
        <w:t xml:space="preserve">, which states that changes in interest rates can affect the cost of capital and, ultimately, stock returns. In addition, this research is in line with research by </w:t>
      </w:r>
      <w:r w:rsidRPr="0097399E">
        <w:rPr>
          <w:szCs w:val="24"/>
          <w:lang w:val="en-MY"/>
        </w:rPr>
        <w:fldChar w:fldCharType="begin" w:fldLock="1"/>
      </w:r>
      <w:r w:rsidR="00D24D1C">
        <w:rPr>
          <w:szCs w:val="24"/>
          <w:lang w:val="en-MY"/>
        </w:rPr>
        <w:instrText>ADDIN CSL_CITATION {"citationItems":[{"id":"ITEM-1","itemData":{"DOI":"10.15408/ess.v10i2.18910","ISSN":"2087-2038","abstract":"This study was conducted to examine the effect of lending rates, net performance loans, interest income on return on asset (ROA). The population in this study is a finance company listed on the Stock Exchange in 2015-2019. The sample was determined by a porposive sampling method – 65 samples. The data used are secondary data obtained from the IDX gallery.  The hypothesis in this study was tested using path analysis to determine the direct and indirect effects of the independent variables used on the dependent variable. The results of this study indicate that partially lending rates have a significant influence on interest income, while credit risk which is proxied by Net Performance Loan (NPL) has no significant effect on Interest Income. Credit Interest Rates do not have an effect on Return On Assets (ROA), while Credit Risk which is proxied by Net Performance Loan (NPL) has a significant negative effect on Return On Assets (ROA) and Interest Income has a significant positive effect on Return On Asset (ROA). The indirect relationship between lending rates and credit risk with Return On Assets (ROA) by using interest income as an intervening get significant results.","author":[{"dropping-particle":"","family":"Wahyudi","given":"Sely Megawati","non-dropping-particle":"","parse-names":false,"suffix":""},{"dropping-particle":"","family":"Buga","given":"Nona Lice Pota","non-dropping-particle":"","parse-names":false,"suffix":""}],"container-title":"Esensi: Jurnal Bisnis dan Manajemen","id":"ITEM-1","issue":"2","issued":{"date-parts":[["2021"]]},"page":"147-160","title":"Pengaruh Suku Bunga Kredit dan Risiko Kredit terhadap Return On Asset dengan Pendapatan Bunga sebagai Variabel Intervening","type":"article-journal","volume":"10"},"uris":["http://www.mendeley.com/documents/?uuid=6c9bd122-3ad9-4f87-8acc-d8f7d5ee235b"]},{"id":"ITEM-2","itemData":{"author":[{"dropping-particle":"","family":"Nurfadilah","given":"Dini","non-dropping-particle":"","parse-names":false,"suffix":""},{"dropping-particle":"","family":"Manda","given":"Gusganda Suria","non-dropping-particle":"","parse-names":false,"suffix":""}],"id":"ITEM-2","issued":{"date-parts":[["2021"]]},"title":"Pengaruh Risiko Suku Bunga dan Inflasi Terhadap Return Saham Pada Perusahaan Telekomunikasi Yang Terdaftar Di Bursa Efek Indonesia Periode 2014-2019","type":"paper-conference"},"uris":["http://www.mendeley.com/documents/?uuid=e76c6ffc-d7a1-4830-8ecc-d16051df869d"]},{"id":"ITEM-3","itemData":{"DOI":"10.59422/margin.v1i01.32","abstract":"Tingkat investasi saat ini terbukti mengalami kemajuan yang sangat pesat, salah satunya pada sektor properti dan real estate, diambilnya sektor ini sebagai objek penelitian karena sektor ini merupakan salah satu sektor yang volatilitasnya cukup tinggi. Industri properti merupakan sektor yang sangat potensial dan menarik untuk menjadi perhatian karena berinvestasi di dalamnya cukup menjanjikan di masa depan. Properti memiliki karakteristik yang sulit untuk diprediksi apalagi pada saat Pandemi Covid-19. Tujuan dari penelitian ini adalah untuk menganalisis pengaruh ekonomi makro indikator seperti inflasi, tingkat suku bunga dan nilai tukar. Penelitian ini menggunakan metode statistik analisis. Variabel bebas adalah Suku Bunga (X1), Inflasi (X2), dan Nilai Tukar (X3), variabel dependen adalah return (Y) saham properti dan real estate. Teknik pengambilan sampel yang digunakan adalah purposive sampling yang menghasilkan 30 perusahaan. Secara parsial (Uji T), veriabel suku bunga berpengaruh negative terhadap return saham, inflasi berpengaruh positif terhadap return saham, dan nilai tukar berpengaruh negative terhadap return saham. Nilai Adjusted R Square sebesar 0.2660 (26,60%) yang menunjukan bahwa 26,60% dapat dijelaskan oleh variabel independen suku bunga, inflasi, dan nilai tukar, sedangkan sisanya 73,4% dijelaskan oleh variabel luar penelitian ini.","author":[{"dropping-particle":"","family":"Budiman","given":"Monika","non-dropping-particle":"","parse-names":false,"suffix":""},{"dropping-particle":"","family":"Premana","given":"Villia","non-dropping-particle":"","parse-names":false,"suffix":""},{"dropping-particle":"","family":"Maryadi","given":"Adi","non-dropping-particle":"","parse-names":false,"suffix":""}],"container-title":"Margin: Jurnal Lentera Managemen Keuangan","id":"ITEM-3","issue":"01","issued":{"date-parts":[["2023"]]},"page":"9-17","title":"Pengaruh Suku Bunga, Inflasi, dan Nilai Tukar Terhadap Return Saham","type":"article-journal","volume":"1"},"uris":["http://www.mendeley.com/documents/?uuid=96cabad9-8b6b-44e8-8940-cf281314b85e"]}],"mendeley":{"formattedCitation":"(Budiman et al., 2023; Nurfadilah &amp; Manda, 2021; Wahyudi &amp; Buga, 2021)"},"properties":{"noteIndex":0},"schema":"https://github.com/citation-style-language/schema/raw/master/csl-citation.json"}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(Budiman et al., 2023; Nurfadilah &amp; Manda, 2021; Wahyudi &amp; Buga, 2021)</w:t>
      </w:r>
      <w:r w:rsidRPr="0097399E">
        <w:rPr>
          <w:szCs w:val="24"/>
          <w:lang w:val="en-MY"/>
        </w:rPr>
        <w:fldChar w:fldCharType="end"/>
      </w:r>
      <w:r w:rsidRPr="0097399E">
        <w:rPr>
          <w:szCs w:val="24"/>
          <w:lang w:val="en-MY"/>
        </w:rPr>
        <w:t>which found that interest rate risk is an important determinant in determining stock returns, especially in sensitive sectors. to changes in interest rates such as the financial and energy sectors.</w:t>
      </w:r>
    </w:p>
    <w:p w14:paraId="0F59928D" w14:textId="14FB3497" w:rsidR="006F3E1C" w:rsidRPr="0097399E" w:rsidRDefault="006F3E1C" w:rsidP="006F3E1C">
      <w:pPr>
        <w:ind w:firstLine="720"/>
        <w:jc w:val="both"/>
        <w:rPr>
          <w:szCs w:val="24"/>
          <w:lang w:val="en-MY"/>
        </w:rPr>
      </w:pPr>
      <w:r w:rsidRPr="0097399E">
        <w:rPr>
          <w:szCs w:val="24"/>
          <w:lang w:val="en-MY"/>
        </w:rPr>
        <w:t xml:space="preserve">The third hypothesis (H3) which states that financial distress has an effect on stock returns in LQ45 indexed companies listed on the Indonesia Stock Exchange for the 2019-2023 period is only supported in Model 1. The results show that financial distress has a significant effect at the 10% level (p&lt;0.10 ) in the model without moderation, but becomes insignificant in the model with moderation. This indicates that the influence of financial distress on stock returns is inconsistent and tends to be weak. Relevant </w:t>
      </w:r>
      <w:r w:rsidRPr="0097399E">
        <w:rPr>
          <w:szCs w:val="24"/>
          <w:lang w:val="en-MY"/>
        </w:rPr>
        <w:fldChar w:fldCharType="begin" w:fldLock="1"/>
      </w:r>
      <w:r w:rsidR="00D24D1C">
        <w:rPr>
          <w:szCs w:val="24"/>
          <w:lang w:val="en-MY"/>
        </w:rPr>
        <w:instrText>ADDIN CSL_CITATION {"citationItems":[{"id":"ITEM-1","itemData":{"DOI":"10.24967/jmb.v8i1.1553","ISSN":"2774-7026","abstract":"… akan mengarah perusahaan pada kondisi financial distress. Identifikasi kondisi kesulitan keuangan dilakukan untuk mengetahui kondisi financial distress pada sub klasifikasi … distress. …","author":[{"dropping-particle":"","family":"Paramita","given":"Yusnia","non-dropping-particle":"","parse-names":false,"suffix":""},{"dropping-particle":"","family":"Ramdani","given":"Deni","non-dropping-particle":"","parse-names":false,"suffix":""}],"container-title":"Jurnal Ilmu Manajemen Saburai (JIMS)","id":"ITEM-1","issue":"1","issued":{"date-parts":[["2022"]]},"page":"29-38","title":"Determinasi Financial Distress Terhadap Return Saham","type":"article-journal","volume":"8"},"uris":["http://www.mendeley.com/documents/?uuid=bdc17303-556a-4f77-b0fe-dc0e08a613ec"]}],"mendeley":{"formattedCitation":"(Paramita &amp; Ramdani, 2022)"},"properties":{"noteIndex":0},"schema":"https://github.com/citation-style-language/schema/raw/master/csl-citation.json"}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(Paramita &amp; Ramdani, 2022)</w:t>
      </w:r>
      <w:r w:rsidRPr="0097399E">
        <w:rPr>
          <w:szCs w:val="24"/>
          <w:lang w:val="en-MY"/>
        </w:rPr>
        <w:fldChar w:fldCharType="end"/>
      </w:r>
      <w:r w:rsidRPr="0097399E">
        <w:rPr>
          <w:szCs w:val="24"/>
          <w:lang w:val="en-MY"/>
        </w:rPr>
        <w:t xml:space="preserve">. Previous research by </w:t>
      </w:r>
      <w:r w:rsidRPr="0097399E">
        <w:rPr>
          <w:szCs w:val="24"/>
          <w:lang w:val="en-MY"/>
        </w:rPr>
        <w:fldChar w:fldCharType="begin" w:fldLock="1"/>
      </w:r>
      <w:r w:rsidR="00D24D1C">
        <w:rPr>
          <w:szCs w:val="24"/>
          <w:lang w:val="en-MY"/>
        </w:rPr>
        <w:instrText>ADDIN CSL_CITATION {"citationItems":[{"id":"ITEM-1","itemData":{"DOI":"10.55606/iceb.v1i2.133","ISSN":"2963-3656","abstract":"This study discusses the effect of Total Asset Turnover (TATO), Price Earning Ratio (PER) and Times Interest Earned Ratio (TIE) to Stock Return with Company Size and Financial Distrsess as a moderating variable . This research uses the object of Retail sub-sector companies in Southeast Asia for the period 2012-2020. The data collected is secondary data with the documentation method in the form of the company's annual report. The sampling method used in this study using purposive sampling technique and obtained 15 companies with a sample of 135 samples. The analysis technique used is Moderated Regression Analysis (MRA), analysis, multiple linear regression, partial test and simultaneous test. The results of the study partially concluded that Total Asset Turnover has no effect on Stock Return, Price Earning Ratio significant effect on Stock Return, and Times Interest Earned Ratio significant effect on Stock Return . The results of the study simultaneously showed that the F-count value was 3.649 and the F-table was 2.70, meaning that the F-count &gt; F-table or a significant value of 0.015 &lt;0.05. So, Total Asset Turnover, Price Earning Ratio and Times Interest Earned Ratio together (simultaneously) have a significant effect on stock return. The results of the study by Moderated Regression Analysis (MRA) concluded that Company Size and Financial Distrsess does not moderate Total Asset Turnover on Stock Return, Company Size and Financial Distrsess does not moderate Price Earning Ratio to Stock Return, and Company Size and Financial Distrsess does not moderate Times Interest Earned Ratio to Stock Return .","author":[{"dropping-particle":"","family":"Sunaryo","given":"Deni","non-dropping-particle":"","parse-names":false,"suffix":""},{"dropping-particle":"","family":"Lestari","given":"Etty Puji","non-dropping-particle":"","parse-names":false,"suffix":""},{"dropping-particle":"","family":"Puryandani","given":"Siti","non-dropping-particle":"","parse-names":false,"suffix":""},{"dropping-particle":"","family":"Hersugondo","given":"","non-dropping-particle":"","parse-names":false,"suffix":""}],"container-title":"Proceeding of The International Conference on Economics and Business","id":"ITEM-1","issue":"2","issued":{"date-parts":[["2022"]]},"page":"291-309","title":"Can Company Size and Financial Distress Moderate in Solve Stock Returns in Retail Sector Companies","type":"article-journal","volume":"1"},"uris":["http://www.mendeley.com/documents/?uuid=2ab630b7-1952-450b-b66c-0b82bd922c44"]}],"mendeley":{"formattedCitation":"(Sunaryo et al., 2022)"},"properties":{"noteIndex":0},"schema":"https://github.com/citation-style-language/schema/raw/master/csl-citation.json"}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(Sunaryo et al., 2022)</w:t>
      </w:r>
      <w:r w:rsidRPr="0097399E">
        <w:rPr>
          <w:szCs w:val="24"/>
          <w:lang w:val="en-MY"/>
        </w:rPr>
        <w:fldChar w:fldCharType="end"/>
      </w:r>
      <w:r w:rsidRPr="0097399E">
        <w:rPr>
          <w:szCs w:val="24"/>
          <w:lang w:val="en-MY"/>
        </w:rPr>
        <w:t xml:space="preserve">and </w:t>
      </w:r>
      <w:r w:rsidRPr="0097399E">
        <w:rPr>
          <w:szCs w:val="24"/>
          <w:lang w:val="en-MY"/>
        </w:rPr>
        <w:fldChar w:fldCharType="begin" w:fldLock="1"/>
      </w:r>
      <w:r w:rsidR="00D24D1C">
        <w:rPr>
          <w:szCs w:val="24"/>
          <w:lang w:val="en-MY"/>
        </w:rPr>
        <w:instrText>ADDIN CSL_CITATION {"citationItems":[{"id":"ITEM-1","itemData":{"author":[{"dropping-particle":"","family":"Baek","given":"Chaeyoon","non-dropping-particle":"","parse-names":false,"suffix":""},{"dropping-particle":"","family":"Baek","given":"Seungho","non-dropping-particle":"","parse-names":false,"suffix":""},{"dropping-particle":"","family":"Glambosky","given":"Mina","non-dropping-particle":"","parse-names":false,"suffix":""}],"container-title":"Finance Research Letters","id":"ITEM-1","issued":{"date-parts":[["2023"]]},"title":"Macroeconomic Impact and Stock Returns' Vulnerability by Size, Solvency, and Financial Distress","type":"article-journal"},"uris":["http://www.mendeley.com/documents/?uuid=929cd5a3-f0cf-4671-8137-be9344c3bff0"]}],"mendeley":{"formattedCitation":"(Baek et al., 2023)"},"properties":{"noteIndex":0},"schema":"https://github.com/citation-style-language/schema/raw/master/csl-citation.json"}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(Baek et al., 2023)</w:t>
      </w:r>
      <w:r w:rsidRPr="0097399E">
        <w:rPr>
          <w:szCs w:val="24"/>
          <w:lang w:val="en-MY"/>
        </w:rPr>
        <w:fldChar w:fldCharType="end"/>
      </w:r>
      <w:r w:rsidRPr="0097399E">
        <w:rPr>
          <w:szCs w:val="24"/>
          <w:lang w:val="en-MY"/>
        </w:rPr>
        <w:t>also found that companies with high levels of financial distress tend to have lower stock returns. However, in the context of this research, the insignificance of the moderation model could be caused by the influence of other factors such as risk management strategies and macroeconomic conditions which influence the relationship between financial distress and stock returns.</w:t>
      </w:r>
    </w:p>
    <w:p w14:paraId="7A57F2A0" w14:textId="46D1B4B8" w:rsidR="006F3E1C" w:rsidRPr="0097399E" w:rsidRDefault="006F3E1C" w:rsidP="006F3E1C">
      <w:pPr>
        <w:ind w:firstLine="720"/>
        <w:jc w:val="both"/>
        <w:rPr>
          <w:szCs w:val="24"/>
          <w:lang w:val="en-MY"/>
        </w:rPr>
      </w:pPr>
      <w:r w:rsidRPr="0097399E">
        <w:rPr>
          <w:szCs w:val="24"/>
          <w:lang w:val="en-MY"/>
        </w:rPr>
        <w:t xml:space="preserve">The fourth hypothesis (H4) which states that company performance (ROA) moderates the influence of the beta factor on stock returns is not supported by the results of this study. The interaction coefficient between beta and ROA factors in Model 3 shows an insignificant value. This shows that company performance, as measured by Return on Assets (ROA), does not strengthen or weaken the influence of the beta factor on stock returns. This finding contradicts the theory of </w:t>
      </w:r>
      <w:r w:rsidRPr="0097399E">
        <w:rPr>
          <w:szCs w:val="24"/>
          <w:lang w:val="en-MY"/>
        </w:rPr>
        <w:fldChar w:fldCharType="begin" w:fldLock="1"/>
      </w:r>
      <w:r w:rsidR="00D24D1C">
        <w:rPr>
          <w:szCs w:val="24"/>
          <w:lang w:val="en-MY"/>
        </w:rPr>
        <w:instrText>ADDIN CSL_CITATION {"citationItems":[{"id":"ITEM-1","itemData":{"DOI":"https://doi.org/10.1016/0304-405X(76)90026-X","ISSN":"0304-405X","abstract":"This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structure","type":"article-journal","volume":"3"},"uris":["http://www.mendeley.com/documents/?uuid=c2add5a3-7fe3-4280-87a2-f8d2b3f86975"]}],"mendeley":{"formattedCitation":"(Jensen &amp; Meckling, 1976)","manualFormatting":"Jensen &amp; Meckling (1976) ","plainTextFormattedCitation":"(Jensen &amp; Meckling, 1976)","previouslyFormattedCitation":"(Jensen &amp; Meckling, 1976)"},"properties":{"noteIndex":0},"schema":"https://github.com/citation-style-language/schema/raw/master/csl-citation.json"}</w:instrText>
      </w:r>
      <w:r w:rsidRPr="0097399E">
        <w:rPr>
          <w:szCs w:val="24"/>
          <w:lang w:val="en-MY"/>
        </w:rPr>
        <w:fldChar w:fldCharType="separate"/>
      </w:r>
      <w:r w:rsidRPr="0097399E">
        <w:rPr>
          <w:noProof/>
          <w:szCs w:val="24"/>
          <w:lang w:val="en-MY"/>
        </w:rPr>
        <w:t xml:space="preserve">Jensen &amp; Meckling (1976) </w:t>
      </w:r>
      <w:r w:rsidRPr="0097399E">
        <w:rPr>
          <w:szCs w:val="24"/>
          <w:lang w:val="en-MY"/>
        </w:rPr>
        <w:fldChar w:fldCharType="end"/>
      </w:r>
      <w:r w:rsidRPr="0097399E">
        <w:rPr>
          <w:szCs w:val="24"/>
          <w:lang w:val="en-MY"/>
        </w:rPr>
        <w:t xml:space="preserve">which states that company performance should influence stock risk and returns. Previous research by </w:t>
      </w:r>
      <w:r w:rsidRPr="0097399E">
        <w:rPr>
          <w:szCs w:val="24"/>
          <w:lang w:val="en-MY"/>
        </w:rPr>
        <w:fldChar w:fldCharType="begin" w:fldLock="1"/>
      </w:r>
      <w:r w:rsidR="00D24D1C">
        <w:rPr>
          <w:szCs w:val="24"/>
          <w:lang w:val="en-MY"/>
        </w:rPr>
        <w:instrText>ADDIN CSL_CITATION {"citationItems":[{"id":"ITEM-1","itemData":{"DOI":"10.31289/jab.v8i2.7577","ISSN":"2443-3071","abstract":"Stock return is the level of profit obtained by investors on their investment. Through signal theory, companies can give signals to investors for their actions which will have an impact on stock returns. The aims of this study were to determine the effect of Beta, ROA, CR, PBV and MVA on stock returns. This study uses the LQ-45 Index company as the population and purposive sampling in the sampling technique, with the criteria that the company publishes financial statements on the Indonesia Stock Exchange from the year of 2001-2020. Analysis using panel data regression. Research proves that ROA, PBV and MVA variables can affect stock returns, while for beta and CR variables it is proven not to affect stock returns. Investors in investing should pay attention to the value of the ROA, PBV and MVA ratios in the company that is the target of their investment, because these ratios are proven to affect stock returns.","author":[{"dropping-particle":"","family":"Noviyanti","given":"Feri","non-dropping-particle":"","parse-names":false,"suffix":""},{"dropping-particle":"","family":"Sarifah Tullah","given":"Dewi","non-dropping-particle":"","parse-names":false,"suffix":""}],"container-title":"JURNAL AKUNTANSI DAN BISNIS : Jurnal Program Studi Akuntansi","id":"ITEM-1","issue":"2","issued":{"date-parts":[["2022"]]},"page":"142-149","title":"Factors That Affecting Stock Returns in LQ45 Companies on The Indonesia Stock Exchange","type":"article-journal","volume":"8"},"uris":["http://www.mendeley.com/documents/?uuid=7da80720-b75d-44ad-b21a-441b2e76c95b"]}],"mendeley":{"formattedCitation":"(Noviyanti &amp; Sarifah Tullah, 2022)","manualFormatting":"Noviyanti &amp; Tullah (2022) ","plainTextFormattedCitation":"(Noviyanti &amp; Sarifah Tullah, 2022)","previouslyFormattedCitation":"(Noviyanti &amp; Sarifah Tullah, 2022)"},"properties":{"noteIndex":0},"schema":"https://github.com/citation-style-language/schema/raw/master/csl-citation.json"}</w:instrText>
      </w:r>
      <w:r w:rsidRPr="0097399E">
        <w:rPr>
          <w:szCs w:val="24"/>
          <w:lang w:val="en-MY"/>
        </w:rPr>
        <w:fldChar w:fldCharType="separate"/>
      </w:r>
      <w:r w:rsidRPr="0097399E">
        <w:rPr>
          <w:noProof/>
          <w:szCs w:val="24"/>
          <w:lang w:val="en-MY"/>
        </w:rPr>
        <w:t xml:space="preserve">Noviyanti &amp; Tullah (2022) </w:t>
      </w:r>
      <w:r w:rsidRPr="0097399E">
        <w:rPr>
          <w:szCs w:val="24"/>
          <w:lang w:val="en-MY"/>
        </w:rPr>
        <w:fldChar w:fldCharType="end"/>
      </w:r>
      <w:r w:rsidRPr="0097399E">
        <w:rPr>
          <w:szCs w:val="24"/>
          <w:lang w:val="en-MY"/>
        </w:rPr>
        <w:t xml:space="preserve">and </w:t>
      </w:r>
      <w:r w:rsidRPr="0097399E">
        <w:rPr>
          <w:szCs w:val="24"/>
          <w:lang w:val="en-MY"/>
        </w:rPr>
        <w:fldChar w:fldCharType="begin" w:fldLock="1"/>
      </w:r>
      <w:r w:rsidR="00D24D1C">
        <w:rPr>
          <w:szCs w:val="24"/>
          <w:lang w:val="en-MY"/>
        </w:rPr>
        <w:instrText>ADDIN CSL_CITATION {"citationItems":[{"id":"ITEM-1","itemData":{"author":[{"dropping-particle":"","family":"Bruno","given":"Valentina","non-dropping-particle":"","parse-names":false,"suffix":""},{"dropping-particle":"","family":"Shim","given":"Ilhyock","non-dropping-particle":"","parse-names":false,"suffix":""},{"dropping-particle":"","family":"Shin","given":"Hyun Song","non-dropping-particle":"","parse-names":false,"suffix":""}],"id":"ITEM-1","issue":"1000","issued":{"date-parts":[["2022"]]},"title":"BIS Working Paper 1000: Dollar beta and stock returns","type":"article-journal"},"uris":["http://www.mendeley.com/documents/?uuid=840e5856-3656-4676-b838-1e140bf8b2bb"]}],"mendeley":{"formattedCitation":"(Bruno et al., 2022)","manualFormatting":"Bruno et al. (2022) ","plainTextFormattedCitation":"(Bruno et al., 2022)","previouslyFormattedCitation":"(Bruno et al., 2022)"},"properties":{"noteIndex":0},"schema":"https://github.com/citation-style-language/schema/raw/master/csl-citation.json"}</w:instrText>
      </w:r>
      <w:r w:rsidRPr="0097399E">
        <w:rPr>
          <w:szCs w:val="24"/>
          <w:lang w:val="en-MY"/>
        </w:rPr>
        <w:fldChar w:fldCharType="separate"/>
      </w:r>
      <w:r w:rsidRPr="0097399E">
        <w:rPr>
          <w:noProof/>
          <w:szCs w:val="24"/>
          <w:lang w:val="en-MY"/>
        </w:rPr>
        <w:t xml:space="preserve">Bruno et al. (2022) </w:t>
      </w:r>
      <w:r w:rsidRPr="0097399E">
        <w:rPr>
          <w:szCs w:val="24"/>
          <w:lang w:val="en-MY"/>
        </w:rPr>
        <w:fldChar w:fldCharType="end"/>
      </w:r>
      <w:r w:rsidRPr="0097399E">
        <w:rPr>
          <w:szCs w:val="24"/>
          <w:lang w:val="en-MY"/>
        </w:rPr>
        <w:t>found that company performance can moderate the relationship between systematic risk and stock returns in developing markets, but this is not the case in this study. This difference could be caused by the characteristics of the Indonesian market which may have different dynamics compared to other markets.</w:t>
      </w:r>
    </w:p>
    <w:p w14:paraId="1B03E84D" w14:textId="6BD5A256" w:rsidR="006F3E1C" w:rsidRPr="0097399E" w:rsidRDefault="006F3E1C" w:rsidP="006F3E1C">
      <w:pPr>
        <w:ind w:firstLine="720"/>
        <w:jc w:val="both"/>
        <w:rPr>
          <w:szCs w:val="24"/>
          <w:lang w:val="en-MY"/>
        </w:rPr>
      </w:pPr>
      <w:r w:rsidRPr="0097399E">
        <w:rPr>
          <w:szCs w:val="24"/>
          <w:lang w:val="en-MY"/>
        </w:rPr>
        <w:t xml:space="preserve">The fifth hypothesis (H5) which states that company performance (ROA) moderates the influence of interest rate risk on stock returns is also not supported by the results of this study. The interaction coefficient between interest rate risk and ROA shows an insignificant value in Model 3. This indicates that company performance does not moderate the effect of interest rate risk on stock returns. This may be due to the fact that changes in interest rates have a direct and significant impact on stock returns that cannot be easily moderated by the company's internal performance. This finding can be explained by the view of the financial management theory proposed by Modigliani and Miller regarding </w:t>
      </w:r>
      <w:r w:rsidRPr="0097399E">
        <w:rPr>
          <w:i/>
          <w:szCs w:val="24"/>
          <w:lang w:val="en-MY"/>
        </w:rPr>
        <w:t xml:space="preserve">the irrelevance proposition </w:t>
      </w:r>
      <w:r w:rsidRPr="0097399E">
        <w:rPr>
          <w:szCs w:val="24"/>
          <w:lang w:val="en-MY"/>
        </w:rPr>
        <w:t xml:space="preserve">, which states that financial policy in a perfect market does not affect firm value </w:t>
      </w:r>
      <w:r w:rsidRPr="0097399E">
        <w:rPr>
          <w:szCs w:val="24"/>
          <w:lang w:val="en-MY"/>
        </w:rPr>
        <w:fldChar w:fldCharType="begin" w:fldLock="1"/>
      </w:r>
      <w:r w:rsidR="00D24D1C">
        <w:rPr>
          <w:szCs w:val="24"/>
          <w:lang w:val="en-MY"/>
        </w:rPr>
        <w:instrText>ADDIN CSL_CITATION {"citationItems":[{"id":"ITEM-1","itemData":{"ISSN":"00028282","author":[{"dropping-particle":"","family":"Modigliani","given":"Franco","non-dropping-particle":"","parse-names":false,"suffix":""},{"dropping-particle":"","family":"Miller","given":"Merton H","non-dropping-particle":"","parse-names":false,"suffix":""}],"container-title":"The American Economic Review","id":"ITEM-1","issue":"3","issued":{"date-parts":[["1958","6","8"]]},"page":"261-297","publisher":"American Economic Association","title":"The Cost of Capital, Corporation Finance and the Theory of Investment","type":"article-journal","volume":"48"},"uris":["http://www.mendeley.com/documents/?uuid=aa9725ee-8191-465e-b155-501c90034c71"]}],"mendeley":{"formattedCitation":"(Modigliani &amp; Miller, 1958)"},"properties":{"noteIndex":0},"schema":"https://github.com/citation-style-language/schema/raw/master/csl-citation.json"}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(Modigliani &amp; Miller, 1958)</w:t>
      </w:r>
      <w:r w:rsidRPr="0097399E">
        <w:rPr>
          <w:szCs w:val="24"/>
          <w:lang w:val="en-MY"/>
        </w:rPr>
        <w:fldChar w:fldCharType="end"/>
      </w:r>
      <w:r w:rsidRPr="0097399E">
        <w:rPr>
          <w:szCs w:val="24"/>
          <w:lang w:val="en-MY"/>
        </w:rPr>
        <w:t>. This insignificance indicates that in the context of LQ45 indexed companies in Indonesia, the influence of interest rate risk on stock returns may not be strong enough to be moderated by company performance as measured through ROA.</w:t>
      </w:r>
    </w:p>
    <w:p w14:paraId="6AA71830" w14:textId="07881564" w:rsidR="00BD216A" w:rsidRPr="006F3E1C" w:rsidRDefault="006F3E1C" w:rsidP="006F3E1C">
      <w:pPr>
        <w:ind w:firstLine="426"/>
        <w:jc w:val="both"/>
        <w:rPr>
          <w:szCs w:val="24"/>
        </w:rPr>
      </w:pPr>
      <w:r w:rsidRPr="0097399E">
        <w:rPr>
          <w:szCs w:val="24"/>
          <w:lang w:val="en-MY"/>
        </w:rPr>
        <w:t xml:space="preserve">The sixth hypothesis (H6) which states that company performance (ROA) moderates the effect of financial distress on stock returns is supported by the results of this research. The interaction coefficient between financial distress and ROA in Model 3 shows a significant value, indicating that company performance can strengthen the effect of financial distress on stock returns. This finding is consistent with the theory put forward by Altman (1968) regarding the importance of company performance in the context of financial distress. This research is also in line with findings by </w:t>
      </w:r>
      <w:r w:rsidRPr="0097399E">
        <w:rPr>
          <w:szCs w:val="24"/>
          <w:lang w:val="en-MY"/>
        </w:rPr>
        <w:fldChar w:fldCharType="begin" w:fldLock="1"/>
      </w:r>
      <w:r w:rsidR="00D24D1C">
        <w:rPr>
          <w:szCs w:val="24"/>
          <w:lang w:val="en-MY"/>
        </w:rPr>
        <w:instrText>ADDIN CSL_CITATION {"citationItems":[{"id":"ITEM-1","itemData":{"DOI":"10.54408/jabter.v3i3.254","ISSN":"2828-4976","abstract":"This research aims to determine the effect of financial distress on company performance in the property and real estate sector listed on the Indonesia Stock Exchange for the 2018-2022 period, which is measured using the Springate analysis method. The performance of the property sector has been greatly impacted by the Covid-19 pandemic. Along with paralyzed economic activity, especially in 2020, the performance of the property sector was also paralyzed. Financial distress is a situation where a company experiences financial difficulties. Financial difficulties if they continue can result in the company going bankrupt. Financial distress can be considered an early warning of the company's poor condition so that the company can prepare itself to face this and improve its financial condition and improve company performance. Measurement of the financial distress variable uses the Springate Method","author":[{"dropping-particle":"","family":"Herdyan","given":"Dwiki","non-dropping-particle":"","parse-names":false,"suffix":""},{"dropping-particle":"","family":"Khalifah","given":"Alif Mohamad","non-dropping-particle":"","parse-names":false,"suffix":""},{"dropping-particle":"","family":"Irfan Ibrahim","given":"Master","non-dropping-particle":"","parse-names":false,"suffix":""},{"dropping-particle":"","family":"Sunardi","given":"Nardi","non-dropping-particle":"","parse-names":false,"suffix":""}],"container-title":"Journal of Applied Business, Taxation and Economics Research","id":"ITEM-1","issue":"3","issued":{"date-parts":[["2024"]]},"page":"240-245","title":"Springate Analysis in Measuring Financial Distress on Company Performance in The Property and Real Estate Sector Listed on The Indonesia Stock Exchange Period 2018 - 2022","type":"article-journal","volume":"3"},"uris":["http://www.mendeley.com/documents/?uuid=fd083dc9-be67-4521-af91-f75d3935f3e9"]}],"mendeley":{"formattedCitation":"(Herdyan et al., 2024)"},"properties":{"noteIndex":0},"schema":"https://github.com/citation-style-language/schema/raw/master/csl-citation.json"}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(Herdyan et al., 2024)</w:t>
      </w:r>
      <w:r w:rsidRPr="0097399E">
        <w:rPr>
          <w:szCs w:val="24"/>
          <w:lang w:val="en-MY"/>
        </w:rPr>
        <w:fldChar w:fldCharType="end"/>
      </w:r>
      <w:r w:rsidRPr="0097399E">
        <w:rPr>
          <w:szCs w:val="24"/>
          <w:lang w:val="en-MY"/>
        </w:rPr>
        <w:t xml:space="preserve">and </w:t>
      </w:r>
      <w:r w:rsidRPr="0097399E">
        <w:rPr>
          <w:szCs w:val="24"/>
          <w:lang w:val="en-MY"/>
        </w:rPr>
        <w:fldChar w:fldCharType="begin" w:fldLock="1"/>
      </w:r>
      <w:r w:rsidR="00D24D1C">
        <w:rPr>
          <w:szCs w:val="24"/>
          <w:lang w:val="en-MY"/>
        </w:rPr>
        <w:instrText>ADDIN CSL_CITATION {"citationItems":[{"id":"ITEM-1","itemData":{"DOI":"10.47191/ijmra/v6-i2-28","ISSN":"26439840","abstract":"One of the company's efforts is to avoid financial distress which can result in the closure of the company. The purpose of this study was to examine the effect of financial performance on financial distress. Financial distress is measured using Altman's discriminatory theory or often referred to as the Altman Z-score, while company performance consists of profitability as measured by return on assets (ROA), liquidity is measured by current ratio (CR), leverage is measured by debt to equity ratio (DER). ), and sales growth. The population of this study were 13 automotive and component companies listed on the Indonesia Stock Exchange (IDX) and 12 companies were taken as a sample because one company had incomplete data. Hypothesis testing using multiple regression analysis with a significance level of 0.05. The results showed that profitability (ROA) and liquidity (CR) had a positive and significant effect on financial distress, while leverage (DER) had a significant but negative effect on financial distress. Other results show that free cash flow and sales growth have no significant effect on financial distress.","author":[{"dropping-particle":"","family":"Triliana","given":"Sindy Putri","non-dropping-particle":"","parse-names":false,"suffix":""},{"dropping-particle":"","family":"Sutrisno","given":"Sutrisno","non-dropping-particle":"","parse-names":false,"suffix":""}],"container-title":"International Journal of Multidisciplinary Research and Analysis","id":"ITEM-1","issue":"02","issued":{"date-parts":[["2023"]]},"page":"699-708","title":"Company Performance and Financial Distress in Automotive and Component Companies Listed on the Indonesia Stock Exchange","type":"article-journal","volume":"06"},"uris":["http://www.mendeley.com/documents/?uuid=91a70961-c9c2-4eb1-8356-3280226c0deb"]}],"mendeley":{"formattedCitation":"(Triliana &amp; Sutrisno, 2023)"},"properties":{"noteIndex":0},"schema":"https://github.com/citation-style-language/schema/raw/master/csl-citation.json"}</w:instrText>
      </w:r>
      <w:r w:rsidRPr="0097399E">
        <w:rPr>
          <w:szCs w:val="24"/>
          <w:lang w:val="en-MY"/>
        </w:rPr>
        <w:fldChar w:fldCharType="separate"/>
      </w:r>
      <w:r w:rsidR="00D24D1C" w:rsidRPr="00D24D1C">
        <w:rPr>
          <w:noProof/>
          <w:szCs w:val="24"/>
          <w:lang w:val="en-MY"/>
        </w:rPr>
        <w:t>(Triliana &amp; Sutrisno, 2023)</w:t>
      </w:r>
      <w:r w:rsidRPr="0097399E">
        <w:rPr>
          <w:szCs w:val="24"/>
          <w:lang w:val="en-MY"/>
        </w:rPr>
        <w:fldChar w:fldCharType="end"/>
      </w:r>
      <w:r w:rsidRPr="0097399E">
        <w:rPr>
          <w:szCs w:val="24"/>
          <w:lang w:val="en-MY"/>
        </w:rPr>
        <w:t>which state that companies with financial distress but having good operational performance can reduce the negative impact of this distress on stock returns. Thus, the results of this study support the view that good company performance can act as a buffer against the risks posed by financial distress, thus moderating its effect on stock returns.</w:t>
      </w:r>
    </w:p>
    <w:p w14:paraId="4FD78D04" w14:textId="77777777" w:rsidR="00BD216A" w:rsidRPr="006F3E1C" w:rsidRDefault="00BD216A" w:rsidP="00BD216A">
      <w:pPr>
        <w:ind w:firstLine="426"/>
        <w:jc w:val="both"/>
        <w:rPr>
          <w:szCs w:val="24"/>
        </w:rPr>
      </w:pPr>
    </w:p>
    <w:p w14:paraId="0000001D" w14:textId="77777777" w:rsidR="002C3D2B" w:rsidRPr="006F3E1C" w:rsidRDefault="00EF6A6E">
      <w:pPr>
        <w:pStyle w:val="Judul1"/>
        <w:numPr>
          <w:ilvl w:val="0"/>
          <w:numId w:val="1"/>
        </w:numPr>
        <w:spacing w:after="60"/>
        <w:ind w:left="360"/>
        <w:rPr>
          <w:i w:val="0"/>
          <w:sz w:val="24"/>
          <w:szCs w:val="24"/>
        </w:rPr>
      </w:pPr>
      <w:r w:rsidRPr="006F3E1C">
        <w:rPr>
          <w:i w:val="0"/>
          <w:sz w:val="24"/>
          <w:szCs w:val="24"/>
        </w:rPr>
        <w:t>Conclusion</w:t>
      </w:r>
    </w:p>
    <w:p w14:paraId="041A17A4" w14:textId="77777777" w:rsidR="006F3E1C" w:rsidRPr="0097399E" w:rsidRDefault="006F3E1C" w:rsidP="006F3E1C">
      <w:pPr>
        <w:pStyle w:val="DaftarParagraf"/>
        <w:ind w:left="0" w:firstLine="720"/>
        <w:jc w:val="both"/>
        <w:rPr>
          <w:szCs w:val="24"/>
          <w:lang w:val="en-MY"/>
        </w:rPr>
      </w:pPr>
      <w:bookmarkStart w:id="0" w:name="_heading=h.gjdgxs" w:colFirst="0" w:colLast="0"/>
      <w:bookmarkEnd w:id="0"/>
      <w:r w:rsidRPr="0097399E">
        <w:rPr>
          <w:szCs w:val="24"/>
          <w:lang w:val="en-MY"/>
        </w:rPr>
        <w:t>Based on the results of this research, it can be concluded that interest rate risk and financial distress have a significant influence on stock returns of LQ45 indexed companies listed on the Indonesia Stock Exchange for the 2019-2023 period. Interest rate risk shows a significant positive effect, while the effect of financial distress is only significant in the model without moderation. The beta factor, on the other hand, does not show a significant influence on stock returns. In addition, company performance (ROA) does not moderate the influence of beta factors and interest rate risk on stock returns, but does moderate the influence of financial distress on stock returns. These results indicate that company performance can strengthen the influence of financial distress on stock returns.</w:t>
      </w:r>
    </w:p>
    <w:p w14:paraId="78099949" w14:textId="77777777" w:rsidR="006F3E1C" w:rsidRPr="0097399E" w:rsidRDefault="006F3E1C" w:rsidP="006F3E1C">
      <w:pPr>
        <w:pStyle w:val="DaftarParagraf"/>
        <w:ind w:left="0" w:firstLine="720"/>
        <w:jc w:val="both"/>
        <w:rPr>
          <w:szCs w:val="24"/>
          <w:lang w:val="en-MY"/>
        </w:rPr>
      </w:pPr>
      <w:r w:rsidRPr="0097399E">
        <w:rPr>
          <w:szCs w:val="24"/>
          <w:lang w:val="en-MY"/>
        </w:rPr>
        <w:t>The implications of this research include practical and theoretical aspects. From a practical perspective, financial managers and investors must pay more attention to interest rate risks and financial distress conditions when making investment decisions, considering that both have a significant impact on stock returns. In addition, the importance of company performance in moderating the influence of financial distress shows that companies must continue to improve their performance to reduce the negative impact of financial distress. From a theoretical perspective, this research adds insight into the moderating role of company performance in the relationship between financial distress and stock returns, as well as enriching literature related to market dynamics in Indonesia.</w:t>
      </w:r>
    </w:p>
    <w:p w14:paraId="0000001F" w14:textId="444D0790" w:rsidR="002C3D2B" w:rsidRPr="006F3E1C" w:rsidRDefault="006F3E1C" w:rsidP="006F3E1C">
      <w:pPr>
        <w:pStyle w:val="DaftarParagraf"/>
        <w:ind w:left="0" w:firstLine="720"/>
        <w:jc w:val="both"/>
        <w:rPr>
          <w:szCs w:val="24"/>
          <w:lang w:val="en-MY"/>
        </w:rPr>
      </w:pPr>
      <w:r w:rsidRPr="0097399E">
        <w:rPr>
          <w:szCs w:val="24"/>
          <w:lang w:val="en-MY"/>
        </w:rPr>
        <w:t>Future research is recommended to expand the scope of variables studied by including other factors such as liquidity, company size, and market volatility which may also influence stock returns. Additionally, future research could conduct analyzes on other sectors beyond LQ45 to see whether similar results can be found in different contexts. The use of different research methods such as panel data or qualitative approaches is also recommended to gain a more comprehensive understanding of the factors that influence stock returns. Finally, it is important to consider macroeconomic and monetary policy dynamics that may influence research outcomes over longer periods.</w:t>
      </w:r>
    </w:p>
    <w:p w14:paraId="3D10D66D" w14:textId="77777777" w:rsidR="003018A5" w:rsidRPr="006F3E1C" w:rsidRDefault="003018A5" w:rsidP="00BD216A">
      <w:pPr>
        <w:ind w:firstLine="426"/>
        <w:jc w:val="both"/>
        <w:rPr>
          <w:szCs w:val="24"/>
        </w:rPr>
      </w:pPr>
    </w:p>
    <w:p w14:paraId="00000020" w14:textId="77777777" w:rsidR="002C3D2B" w:rsidRPr="006F3E1C" w:rsidRDefault="00EF6A6E">
      <w:pPr>
        <w:pStyle w:val="Judul1"/>
        <w:spacing w:after="60"/>
        <w:rPr>
          <w:i w:val="0"/>
          <w:sz w:val="24"/>
          <w:szCs w:val="24"/>
        </w:rPr>
      </w:pPr>
      <w:r w:rsidRPr="006F3E1C">
        <w:rPr>
          <w:i w:val="0"/>
          <w:sz w:val="24"/>
          <w:szCs w:val="24"/>
        </w:rPr>
        <w:t>References</w:t>
      </w:r>
    </w:p>
    <w:p w14:paraId="023D6330" w14:textId="46DE90BD" w:rsidR="00D24D1C" w:rsidRPr="00D24D1C" w:rsidRDefault="00A21DBB" w:rsidP="00D24D1C">
      <w:pPr>
        <w:widowControl w:val="0"/>
        <w:autoSpaceDE w:val="0"/>
        <w:autoSpaceDN w:val="0"/>
        <w:adjustRightInd w:val="0"/>
        <w:spacing w:after="120"/>
        <w:ind w:left="480" w:hanging="480"/>
        <w:rPr>
          <w:noProof/>
          <w:szCs w:val="24"/>
        </w:rPr>
      </w:pPr>
      <w:r w:rsidRPr="006F3E1C">
        <w:rPr>
          <w:szCs w:val="24"/>
        </w:rPr>
        <w:fldChar w:fldCharType="begin" w:fldLock="1"/>
      </w:r>
      <w:r w:rsidRPr="006F3E1C">
        <w:rPr>
          <w:szCs w:val="24"/>
        </w:rPr>
        <w:instrText xml:space="preserve">ADDIN Mendeley Bibliography CSL_BIBLIOGRAPHY </w:instrText>
      </w:r>
      <w:r w:rsidRPr="006F3E1C">
        <w:rPr>
          <w:szCs w:val="24"/>
        </w:rPr>
        <w:fldChar w:fldCharType="separate"/>
      </w:r>
      <w:r w:rsidR="00D24D1C" w:rsidRPr="00D24D1C">
        <w:rPr>
          <w:noProof/>
          <w:szCs w:val="24"/>
        </w:rPr>
        <w:t xml:space="preserve">Abdullah, M. M. (2014). Manajemen dan Evaluasi Kinerja Karyawan. In </w:t>
      </w:r>
      <w:r w:rsidR="00D24D1C" w:rsidRPr="00D24D1C">
        <w:rPr>
          <w:i/>
          <w:iCs/>
          <w:noProof/>
          <w:szCs w:val="24"/>
        </w:rPr>
        <w:t>Aswaja Pressindo</w:t>
      </w:r>
      <w:r w:rsidR="00D24D1C" w:rsidRPr="00D24D1C">
        <w:rPr>
          <w:noProof/>
          <w:szCs w:val="24"/>
        </w:rPr>
        <w:t>. www.aswajapressindo.co.id</w:t>
      </w:r>
    </w:p>
    <w:p w14:paraId="0812DA6B"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Az-Zahra, R., &amp; Pardistya, I. Y. (2022). Analisis Pengaruh Risiko Suku Bunga Bank Indonesia dan Net Interest Margin terhadap Profitabilitas Bank Konvensional di Indonesia. </w:t>
      </w:r>
      <w:r w:rsidRPr="00D24D1C">
        <w:rPr>
          <w:i/>
          <w:iCs/>
          <w:noProof/>
          <w:szCs w:val="24"/>
        </w:rPr>
        <w:t>Jurnal Mirai Manajemen</w:t>
      </w:r>
      <w:r w:rsidRPr="00D24D1C">
        <w:rPr>
          <w:noProof/>
          <w:szCs w:val="24"/>
        </w:rPr>
        <w:t xml:space="preserve">, </w:t>
      </w:r>
      <w:r w:rsidRPr="00D24D1C">
        <w:rPr>
          <w:i/>
          <w:iCs/>
          <w:noProof/>
          <w:szCs w:val="24"/>
        </w:rPr>
        <w:t>7</w:t>
      </w:r>
      <w:r w:rsidRPr="00D24D1C">
        <w:rPr>
          <w:noProof/>
          <w:szCs w:val="24"/>
        </w:rPr>
        <w:t>(1), 133–142.</w:t>
      </w:r>
    </w:p>
    <w:p w14:paraId="5651F444"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Baek, C., Baek, S., &amp; Glambosky, M. (2023). Macroeconomic Impact and Stock Returns’ Vulnerability by Size, Solvency, and Financial Distress. </w:t>
      </w:r>
      <w:r w:rsidRPr="00D24D1C">
        <w:rPr>
          <w:i/>
          <w:iCs/>
          <w:noProof/>
          <w:szCs w:val="24"/>
        </w:rPr>
        <w:t>Finance Research Letters</w:t>
      </w:r>
      <w:r w:rsidRPr="00D24D1C">
        <w:rPr>
          <w:noProof/>
          <w:szCs w:val="24"/>
        </w:rPr>
        <w:t>. https://api.semanticscholar.org/CorpusID:265238597</w:t>
      </w:r>
    </w:p>
    <w:p w14:paraId="2114CAC8"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Bruno, V., Shim, I., &amp; Shin, H. S. (2022). </w:t>
      </w:r>
      <w:r w:rsidRPr="00D24D1C">
        <w:rPr>
          <w:i/>
          <w:iCs/>
          <w:noProof/>
          <w:szCs w:val="24"/>
        </w:rPr>
        <w:t>BIS Working Paper 1000: Dollar beta and stock returns</w:t>
      </w:r>
      <w:r w:rsidRPr="00D24D1C">
        <w:rPr>
          <w:noProof/>
          <w:szCs w:val="24"/>
        </w:rPr>
        <w:t xml:space="preserve">. </w:t>
      </w:r>
      <w:r w:rsidRPr="00D24D1C">
        <w:rPr>
          <w:i/>
          <w:iCs/>
          <w:noProof/>
          <w:szCs w:val="24"/>
        </w:rPr>
        <w:t>1000</w:t>
      </w:r>
      <w:r w:rsidRPr="00D24D1C">
        <w:rPr>
          <w:noProof/>
          <w:szCs w:val="24"/>
        </w:rPr>
        <w:t>. www.bis.org</w:t>
      </w:r>
    </w:p>
    <w:p w14:paraId="35B42F67"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Budiman, M., Premana, V., &amp; Maryadi, A. (2023). Pengaruh Suku Bunga, Inflasi, dan Nilai Tukar Terhadap Return Saham. </w:t>
      </w:r>
      <w:r w:rsidRPr="00D24D1C">
        <w:rPr>
          <w:i/>
          <w:iCs/>
          <w:noProof/>
          <w:szCs w:val="24"/>
        </w:rPr>
        <w:t>Margin: Jurnal Lentera Managemen Keuangan</w:t>
      </w:r>
      <w:r w:rsidRPr="00D24D1C">
        <w:rPr>
          <w:noProof/>
          <w:szCs w:val="24"/>
        </w:rPr>
        <w:t xml:space="preserve">, </w:t>
      </w:r>
      <w:r w:rsidRPr="00D24D1C">
        <w:rPr>
          <w:i/>
          <w:iCs/>
          <w:noProof/>
          <w:szCs w:val="24"/>
        </w:rPr>
        <w:t>1</w:t>
      </w:r>
      <w:r w:rsidRPr="00D24D1C">
        <w:rPr>
          <w:noProof/>
          <w:szCs w:val="24"/>
        </w:rPr>
        <w:t>(01), 9–17. https://doi.org/10.59422/margin.v1i01.32</w:t>
      </w:r>
    </w:p>
    <w:p w14:paraId="5C8B469A"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Campbell, J. Y. (2014). Empirical Asset Pricing: Eugene Fama, Lars Peter Hansen, and Robert Shiller. </w:t>
      </w:r>
      <w:r w:rsidRPr="00D24D1C">
        <w:rPr>
          <w:i/>
          <w:iCs/>
          <w:noProof/>
          <w:szCs w:val="24"/>
        </w:rPr>
        <w:t>Scandinavian Journal of Economics</w:t>
      </w:r>
      <w:r w:rsidRPr="00D24D1C">
        <w:rPr>
          <w:noProof/>
          <w:szCs w:val="24"/>
        </w:rPr>
        <w:t xml:space="preserve">, </w:t>
      </w:r>
      <w:r w:rsidRPr="00D24D1C">
        <w:rPr>
          <w:i/>
          <w:iCs/>
          <w:noProof/>
          <w:szCs w:val="24"/>
        </w:rPr>
        <w:t>116</w:t>
      </w:r>
      <w:r w:rsidRPr="00D24D1C">
        <w:rPr>
          <w:noProof/>
          <w:szCs w:val="24"/>
        </w:rPr>
        <w:t>(3), 593–634. https://doi.org/10.1111/sjoe.12070</w:t>
      </w:r>
    </w:p>
    <w:p w14:paraId="66206706"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Ezilmez, B. (2020). DRUCKER AND THE SPIRIT OF MANAGEMENT. </w:t>
      </w:r>
      <w:r w:rsidRPr="00D24D1C">
        <w:rPr>
          <w:i/>
          <w:iCs/>
          <w:noProof/>
          <w:szCs w:val="24"/>
        </w:rPr>
        <w:t>Eurasian Journal of Researches in Social and Economics (EJRSE)</w:t>
      </w:r>
      <w:r w:rsidRPr="00D24D1C">
        <w:rPr>
          <w:noProof/>
          <w:szCs w:val="24"/>
        </w:rPr>
        <w:t xml:space="preserve">, </w:t>
      </w:r>
      <w:r w:rsidRPr="00D24D1C">
        <w:rPr>
          <w:i/>
          <w:iCs/>
          <w:noProof/>
          <w:szCs w:val="24"/>
        </w:rPr>
        <w:t>9</w:t>
      </w:r>
      <w:r w:rsidRPr="00D24D1C">
        <w:rPr>
          <w:noProof/>
          <w:szCs w:val="24"/>
        </w:rPr>
        <w:t>, 210–221.</w:t>
      </w:r>
    </w:p>
    <w:p w14:paraId="041D2C4C"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Ferdaous, J., &amp; Barua, S. (2020). Firm-specific factors and stock returns: Evidence from selected private commercial banks listed on the dhaka stock exchange. </w:t>
      </w:r>
      <w:r w:rsidRPr="00D24D1C">
        <w:rPr>
          <w:i/>
          <w:iCs/>
          <w:noProof/>
          <w:szCs w:val="24"/>
        </w:rPr>
        <w:t>Asian Economic and Financial Review</w:t>
      </w:r>
      <w:r w:rsidRPr="00D24D1C">
        <w:rPr>
          <w:noProof/>
          <w:szCs w:val="24"/>
        </w:rPr>
        <w:t xml:space="preserve">, </w:t>
      </w:r>
      <w:r w:rsidRPr="00D24D1C">
        <w:rPr>
          <w:i/>
          <w:iCs/>
          <w:noProof/>
          <w:szCs w:val="24"/>
        </w:rPr>
        <w:t>10</w:t>
      </w:r>
      <w:r w:rsidRPr="00D24D1C">
        <w:rPr>
          <w:noProof/>
          <w:szCs w:val="24"/>
        </w:rPr>
        <w:t>(11), 1259–1268. https://doi.org/10.18488/journal.aefr.2020.1011.1259.1268</w:t>
      </w:r>
    </w:p>
    <w:p w14:paraId="6E390E4A"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Girling, P. X. (2022). </w:t>
      </w:r>
      <w:r w:rsidRPr="00D24D1C">
        <w:rPr>
          <w:i/>
          <w:iCs/>
          <w:noProof/>
          <w:szCs w:val="24"/>
        </w:rPr>
        <w:t>Operational Risk Management: A Complete Guide for Banking and Fintech</w:t>
      </w:r>
      <w:r w:rsidRPr="00D24D1C">
        <w:rPr>
          <w:noProof/>
          <w:szCs w:val="24"/>
        </w:rPr>
        <w:t>. John Wiley &amp; Sons.</w:t>
      </w:r>
    </w:p>
    <w:p w14:paraId="1DE60CF1"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Gunawan, Y. I., &amp; Suyatmin, W. A. (2021). Analisis Pengaruh Kinerja Keuangan Terhadap Harga Saham Pada Perusahaan Yang Terdaftar Di BEI. </w:t>
      </w:r>
      <w:r w:rsidRPr="00D24D1C">
        <w:rPr>
          <w:i/>
          <w:iCs/>
          <w:noProof/>
          <w:szCs w:val="24"/>
        </w:rPr>
        <w:t>Prosiding Seminar Stiami</w:t>
      </w:r>
      <w:r w:rsidRPr="00D24D1C">
        <w:rPr>
          <w:noProof/>
          <w:szCs w:val="24"/>
        </w:rPr>
        <w:t xml:space="preserve">, </w:t>
      </w:r>
      <w:r w:rsidRPr="00D24D1C">
        <w:rPr>
          <w:i/>
          <w:iCs/>
          <w:noProof/>
          <w:szCs w:val="24"/>
        </w:rPr>
        <w:t>8</w:t>
      </w:r>
      <w:r w:rsidRPr="00D24D1C">
        <w:rPr>
          <w:noProof/>
          <w:szCs w:val="24"/>
        </w:rPr>
        <w:t>(1), 32–36.</w:t>
      </w:r>
    </w:p>
    <w:p w14:paraId="1D8B4E4C"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Halimah, S. N. (2017). </w:t>
      </w:r>
      <w:r w:rsidRPr="00D24D1C">
        <w:rPr>
          <w:i/>
          <w:iCs/>
          <w:noProof/>
          <w:szCs w:val="24"/>
        </w:rPr>
        <w:t>Analisis Pengaruh Kualitas Layanan dan Kepuasan Terhadap Loyalitas Pasien di Medical Center ITS dengan Metode Structural Equation Modeling Partial Least Square (SEM-PLS)</w:t>
      </w:r>
      <w:r w:rsidRPr="00D24D1C">
        <w:rPr>
          <w:noProof/>
          <w:szCs w:val="24"/>
        </w:rPr>
        <w:t>. 1–95.</w:t>
      </w:r>
    </w:p>
    <w:p w14:paraId="04477DCC"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Handoyo, R. D., Erlando, A., &amp; Septiyanto, I. (2020). Dampak Faktor Eksternal Terhadap Pertumbuhan Ekonomi Indonesia. </w:t>
      </w:r>
      <w:r w:rsidRPr="00D24D1C">
        <w:rPr>
          <w:i/>
          <w:iCs/>
          <w:noProof/>
          <w:szCs w:val="24"/>
        </w:rPr>
        <w:t>EcceS (Economics, Social, and Development Studies)</w:t>
      </w:r>
      <w:r w:rsidRPr="00D24D1C">
        <w:rPr>
          <w:noProof/>
          <w:szCs w:val="24"/>
        </w:rPr>
        <w:t xml:space="preserve">, </w:t>
      </w:r>
      <w:r w:rsidRPr="00D24D1C">
        <w:rPr>
          <w:i/>
          <w:iCs/>
          <w:noProof/>
          <w:szCs w:val="24"/>
        </w:rPr>
        <w:t>7</w:t>
      </w:r>
      <w:r w:rsidRPr="00D24D1C">
        <w:rPr>
          <w:noProof/>
          <w:szCs w:val="24"/>
        </w:rPr>
        <w:t>(1), 1. https://doi.org/10.24252/ecc.v7i1.13382</w:t>
      </w:r>
    </w:p>
    <w:p w14:paraId="45B1B9D3"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Herdyan, D., Khalifah, A. M., Irfan Ibrahim, M., &amp; Sunardi, N. (2024). Springate Analysis in Measuring Financial Distress on Company Performance in The Property and Real Estate Sector Listed on The Indonesia Stock Exchange Period 2018 - 2022. </w:t>
      </w:r>
      <w:r w:rsidRPr="00D24D1C">
        <w:rPr>
          <w:i/>
          <w:iCs/>
          <w:noProof/>
          <w:szCs w:val="24"/>
        </w:rPr>
        <w:t>Journal of Applied Business, Taxation and Economics Research</w:t>
      </w:r>
      <w:r w:rsidRPr="00D24D1C">
        <w:rPr>
          <w:noProof/>
          <w:szCs w:val="24"/>
        </w:rPr>
        <w:t xml:space="preserve">, </w:t>
      </w:r>
      <w:r w:rsidRPr="00D24D1C">
        <w:rPr>
          <w:i/>
          <w:iCs/>
          <w:noProof/>
          <w:szCs w:val="24"/>
        </w:rPr>
        <w:t>3</w:t>
      </w:r>
      <w:r w:rsidRPr="00D24D1C">
        <w:rPr>
          <w:noProof/>
          <w:szCs w:val="24"/>
        </w:rPr>
        <w:t>(3), 240–245. https://doi.org/10.54408/jabter.v3i3.254</w:t>
      </w:r>
    </w:p>
    <w:p w14:paraId="4E32AEC4"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Herlina, H. (2020). Perubahan Fluktuatif Struktur Ekonomi Indonesia Pada Masa Pandemi Covid-19. </w:t>
      </w:r>
      <w:r w:rsidRPr="00D24D1C">
        <w:rPr>
          <w:i/>
          <w:iCs/>
          <w:noProof/>
          <w:szCs w:val="24"/>
        </w:rPr>
        <w:t>Al-Mutharahah: Jurnal Penelitian Dan Kajian Sosial Keagamaan</w:t>
      </w:r>
      <w:r w:rsidRPr="00D24D1C">
        <w:rPr>
          <w:noProof/>
          <w:szCs w:val="24"/>
        </w:rPr>
        <w:t xml:space="preserve">, </w:t>
      </w:r>
      <w:r w:rsidRPr="00D24D1C">
        <w:rPr>
          <w:i/>
          <w:iCs/>
          <w:noProof/>
          <w:szCs w:val="24"/>
        </w:rPr>
        <w:t>17</w:t>
      </w:r>
      <w:r w:rsidRPr="00D24D1C">
        <w:rPr>
          <w:noProof/>
          <w:szCs w:val="24"/>
        </w:rPr>
        <w:t>(2), 199–210. https://doi.org/10.46781/al-mutharahah.v17i2.142</w:t>
      </w:r>
    </w:p>
    <w:p w14:paraId="09676A40"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Jensen, M. C., &amp; Meckling, W. H. (1976). Theory of the firm: Managerial behavior, agency costs and ownership structure. </w:t>
      </w:r>
      <w:r w:rsidRPr="00D24D1C">
        <w:rPr>
          <w:i/>
          <w:iCs/>
          <w:noProof/>
          <w:szCs w:val="24"/>
        </w:rPr>
        <w:t>Journal of Financial Economics</w:t>
      </w:r>
      <w:r w:rsidRPr="00D24D1C">
        <w:rPr>
          <w:noProof/>
          <w:szCs w:val="24"/>
        </w:rPr>
        <w:t xml:space="preserve">, </w:t>
      </w:r>
      <w:r w:rsidRPr="00D24D1C">
        <w:rPr>
          <w:i/>
          <w:iCs/>
          <w:noProof/>
          <w:szCs w:val="24"/>
        </w:rPr>
        <w:t>3</w:t>
      </w:r>
      <w:r w:rsidRPr="00D24D1C">
        <w:rPr>
          <w:noProof/>
          <w:szCs w:val="24"/>
        </w:rPr>
        <w:t>(4), 305–360. https://doi.org/https://doi.org/10.1016/0304-405X(76)90026-X</w:t>
      </w:r>
    </w:p>
    <w:p w14:paraId="5F63D2F1"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Julini, D., Siahaan, Y., Sinaga, M., &amp; Purba, R. (2018). Pengaruh Financial Distress (Altman Z-Score) Terhadap Return Saham Pada Perusahaan Sektor Aneka Industri Yang Terdaftar Di Bursa Efek Indonesia. </w:t>
      </w:r>
      <w:r w:rsidRPr="00D24D1C">
        <w:rPr>
          <w:i/>
          <w:iCs/>
          <w:noProof/>
          <w:szCs w:val="24"/>
        </w:rPr>
        <w:t>SULTANIST: Jurnal Manajemen Dan Keuangan</w:t>
      </w:r>
      <w:r w:rsidRPr="00D24D1C">
        <w:rPr>
          <w:noProof/>
          <w:szCs w:val="24"/>
        </w:rPr>
        <w:t xml:space="preserve">, </w:t>
      </w:r>
      <w:r w:rsidRPr="00D24D1C">
        <w:rPr>
          <w:i/>
          <w:iCs/>
          <w:noProof/>
          <w:szCs w:val="24"/>
        </w:rPr>
        <w:t>2</w:t>
      </w:r>
      <w:r w:rsidRPr="00D24D1C">
        <w:rPr>
          <w:noProof/>
          <w:szCs w:val="24"/>
        </w:rPr>
        <w:t>(2), 47–52. https://doi.org/10.37403/sultanist.v2i2.36</w:t>
      </w:r>
    </w:p>
    <w:p w14:paraId="13A06283"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Juwita, R., Antoni, &amp; Pandjaitan, S. S. P. (2022). Peran Tax Planning Sebagai Pemoderasi Determinan Nilai Perusahaan. </w:t>
      </w:r>
      <w:r w:rsidRPr="00D24D1C">
        <w:rPr>
          <w:i/>
          <w:iCs/>
          <w:noProof/>
          <w:szCs w:val="24"/>
        </w:rPr>
        <w:t>Jurnal Ilmiah Ekonomi Bisnis</w:t>
      </w:r>
      <w:r w:rsidRPr="00D24D1C">
        <w:rPr>
          <w:noProof/>
          <w:szCs w:val="24"/>
        </w:rPr>
        <w:t xml:space="preserve">, </w:t>
      </w:r>
      <w:r w:rsidRPr="00D24D1C">
        <w:rPr>
          <w:i/>
          <w:iCs/>
          <w:noProof/>
          <w:szCs w:val="24"/>
        </w:rPr>
        <w:t>27</w:t>
      </w:r>
      <w:r w:rsidRPr="00D24D1C">
        <w:rPr>
          <w:noProof/>
          <w:szCs w:val="24"/>
        </w:rPr>
        <w:t>(3), 336–348. https://doi.org/10.35760/eb.2022.v27i3.5856</w:t>
      </w:r>
    </w:p>
    <w:p w14:paraId="0AEFF1D7"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Kurniawan, A. W. (2015). </w:t>
      </w:r>
      <w:r w:rsidRPr="00D24D1C">
        <w:rPr>
          <w:i/>
          <w:iCs/>
          <w:noProof/>
          <w:szCs w:val="24"/>
        </w:rPr>
        <w:t>Prediksi Risiko Investasi Saham</w:t>
      </w:r>
      <w:r w:rsidRPr="00D24D1C">
        <w:rPr>
          <w:noProof/>
          <w:szCs w:val="24"/>
        </w:rPr>
        <w:t xml:space="preserve">. </w:t>
      </w:r>
      <w:r w:rsidRPr="00D24D1C">
        <w:rPr>
          <w:i/>
          <w:iCs/>
          <w:noProof/>
          <w:szCs w:val="24"/>
        </w:rPr>
        <w:t>3</w:t>
      </w:r>
      <w:r w:rsidRPr="00D24D1C">
        <w:rPr>
          <w:noProof/>
          <w:szCs w:val="24"/>
        </w:rPr>
        <w:t>(3), 69–70.</w:t>
      </w:r>
    </w:p>
    <w:p w14:paraId="321D8C10"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Modigliani, F., &amp; Miller, M. H. (1958). The Cost of Capital, Corporation Finance and the Theory of Investment. </w:t>
      </w:r>
      <w:r w:rsidRPr="00D24D1C">
        <w:rPr>
          <w:i/>
          <w:iCs/>
          <w:noProof/>
          <w:szCs w:val="24"/>
        </w:rPr>
        <w:t>The American Economic Review</w:t>
      </w:r>
      <w:r w:rsidRPr="00D24D1C">
        <w:rPr>
          <w:noProof/>
          <w:szCs w:val="24"/>
        </w:rPr>
        <w:t xml:space="preserve">, </w:t>
      </w:r>
      <w:r w:rsidRPr="00D24D1C">
        <w:rPr>
          <w:i/>
          <w:iCs/>
          <w:noProof/>
          <w:szCs w:val="24"/>
        </w:rPr>
        <w:t>48</w:t>
      </w:r>
      <w:r w:rsidRPr="00D24D1C">
        <w:rPr>
          <w:noProof/>
          <w:szCs w:val="24"/>
        </w:rPr>
        <w:t>(3), 261–297. http://www.jstor.org/stable/1809766</w:t>
      </w:r>
    </w:p>
    <w:p w14:paraId="32931C2D"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Noviyanti, F., &amp; Sarifah Tullah, D. (2022). Factors That Affecting Stock Returns in LQ45 Companies on The Indonesia Stock Exchange. </w:t>
      </w:r>
      <w:r w:rsidRPr="00D24D1C">
        <w:rPr>
          <w:i/>
          <w:iCs/>
          <w:noProof/>
          <w:szCs w:val="24"/>
        </w:rPr>
        <w:t>JURNAL AKUNTANSI DAN BISNIS : Jurnal Program Studi Akuntansi</w:t>
      </w:r>
      <w:r w:rsidRPr="00D24D1C">
        <w:rPr>
          <w:noProof/>
          <w:szCs w:val="24"/>
        </w:rPr>
        <w:t xml:space="preserve">, </w:t>
      </w:r>
      <w:r w:rsidRPr="00D24D1C">
        <w:rPr>
          <w:i/>
          <w:iCs/>
          <w:noProof/>
          <w:szCs w:val="24"/>
        </w:rPr>
        <w:t>8</w:t>
      </w:r>
      <w:r w:rsidRPr="00D24D1C">
        <w:rPr>
          <w:noProof/>
          <w:szCs w:val="24"/>
        </w:rPr>
        <w:t>(2), 142–149. https://doi.org/10.31289/jab.v8i2.7577</w:t>
      </w:r>
    </w:p>
    <w:p w14:paraId="50ACC66F"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Nugroho, M., Arif, D., &amp; Halik, A. (2021). The effect of financial distress on stock returns, through systematic risk and profitability as mediator variables. </w:t>
      </w:r>
      <w:r w:rsidRPr="00D24D1C">
        <w:rPr>
          <w:i/>
          <w:iCs/>
          <w:noProof/>
          <w:szCs w:val="24"/>
        </w:rPr>
        <w:t>Accounting</w:t>
      </w:r>
      <w:r w:rsidRPr="00D24D1C">
        <w:rPr>
          <w:noProof/>
          <w:szCs w:val="24"/>
        </w:rPr>
        <w:t xml:space="preserve">, </w:t>
      </w:r>
      <w:r w:rsidRPr="00D24D1C">
        <w:rPr>
          <w:i/>
          <w:iCs/>
          <w:noProof/>
          <w:szCs w:val="24"/>
        </w:rPr>
        <w:t>7</w:t>
      </w:r>
      <w:r w:rsidRPr="00D24D1C">
        <w:rPr>
          <w:noProof/>
          <w:szCs w:val="24"/>
        </w:rPr>
        <w:t>(7), 1717–1724. https://doi.org/10.5267/j.ac.2021.4.026</w:t>
      </w:r>
    </w:p>
    <w:p w14:paraId="0F45733C"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Nurfadilah, D., &amp; Manda, G. S. (2021). </w:t>
      </w:r>
      <w:r w:rsidRPr="00D24D1C">
        <w:rPr>
          <w:i/>
          <w:iCs/>
          <w:noProof/>
          <w:szCs w:val="24"/>
        </w:rPr>
        <w:t>Pengaruh Risiko Suku Bunga dan Inflasi Terhadap Return Saham Pada Perusahaan Telekomunikasi Yang Terdaftar Di Bursa Efek Indonesia Periode 2014-2019</w:t>
      </w:r>
      <w:r w:rsidRPr="00D24D1C">
        <w:rPr>
          <w:noProof/>
          <w:szCs w:val="24"/>
        </w:rPr>
        <w:t>. https://api.semanticscholar.org/CorpusID:236750279</w:t>
      </w:r>
    </w:p>
    <w:p w14:paraId="76626F47"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Paramita, Y., &amp; Ramdani, D. (2022). Determinasi Financial Distress Terhadap Return Saham. </w:t>
      </w:r>
      <w:r w:rsidRPr="00D24D1C">
        <w:rPr>
          <w:i/>
          <w:iCs/>
          <w:noProof/>
          <w:szCs w:val="24"/>
        </w:rPr>
        <w:t>Jurnal Ilmu Manajemen Saburai (JIMS)</w:t>
      </w:r>
      <w:r w:rsidRPr="00D24D1C">
        <w:rPr>
          <w:noProof/>
          <w:szCs w:val="24"/>
        </w:rPr>
        <w:t xml:space="preserve">, </w:t>
      </w:r>
      <w:r w:rsidRPr="00D24D1C">
        <w:rPr>
          <w:i/>
          <w:iCs/>
          <w:noProof/>
          <w:szCs w:val="24"/>
        </w:rPr>
        <w:t>8</w:t>
      </w:r>
      <w:r w:rsidRPr="00D24D1C">
        <w:rPr>
          <w:noProof/>
          <w:szCs w:val="24"/>
        </w:rPr>
        <w:t>(1), 29–38. https://doi.org/10.24967/jmb.v8i1.1553</w:t>
      </w:r>
    </w:p>
    <w:p w14:paraId="3953F69F"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Sharpe, W. F. (1964). Capital Asset Prices: a Theory of Market Equilibrium Under Conditions of Risk. </w:t>
      </w:r>
      <w:r w:rsidRPr="00D24D1C">
        <w:rPr>
          <w:i/>
          <w:iCs/>
          <w:noProof/>
          <w:szCs w:val="24"/>
        </w:rPr>
        <w:t>The Journal of Finance</w:t>
      </w:r>
      <w:r w:rsidRPr="00D24D1C">
        <w:rPr>
          <w:noProof/>
          <w:szCs w:val="24"/>
        </w:rPr>
        <w:t xml:space="preserve">, </w:t>
      </w:r>
      <w:r w:rsidRPr="00D24D1C">
        <w:rPr>
          <w:i/>
          <w:iCs/>
          <w:noProof/>
          <w:szCs w:val="24"/>
        </w:rPr>
        <w:t>19</w:t>
      </w:r>
      <w:r w:rsidRPr="00D24D1C">
        <w:rPr>
          <w:noProof/>
          <w:szCs w:val="24"/>
        </w:rPr>
        <w:t>(3), 425–442. https://doi.org/10.1111/j.1540-6261.1964.tb02865.x</w:t>
      </w:r>
    </w:p>
    <w:p w14:paraId="6529071A"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Sitohang, D., &amp; Manik, J. (2021). Pengaruh Modal Intelektual Terhadap Nilai Perusahaan Dengan Kinerja Keuangan Sebagai Variabel Intervening Pada Perusahaan Sub Sektor Real Estate Yang Terdaftar Di Bursa Efek Indonesia. </w:t>
      </w:r>
      <w:r w:rsidRPr="00D24D1C">
        <w:rPr>
          <w:i/>
          <w:iCs/>
          <w:noProof/>
          <w:szCs w:val="24"/>
        </w:rPr>
        <w:t>Jurakunman (Jurnal Akuntansi Dan Manajemen)</w:t>
      </w:r>
      <w:r w:rsidRPr="00D24D1C">
        <w:rPr>
          <w:noProof/>
          <w:szCs w:val="24"/>
        </w:rPr>
        <w:t xml:space="preserve">, </w:t>
      </w:r>
      <w:r w:rsidRPr="00D24D1C">
        <w:rPr>
          <w:i/>
          <w:iCs/>
          <w:noProof/>
          <w:szCs w:val="24"/>
        </w:rPr>
        <w:t>14</w:t>
      </w:r>
      <w:r w:rsidRPr="00D24D1C">
        <w:rPr>
          <w:noProof/>
          <w:szCs w:val="24"/>
        </w:rPr>
        <w:t>(1), 54. https://doi.org/10.48042/jurakunman.v14i1.74</w:t>
      </w:r>
    </w:p>
    <w:p w14:paraId="72026C60"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Sunaryo, D., Lestari, E. P., Puryandani, S., &amp; Hersugondo. (2022). Can Company Size and Financial Distress Moderate in Solve Stock Returns in Retail Sector Companies. </w:t>
      </w:r>
      <w:r w:rsidRPr="00D24D1C">
        <w:rPr>
          <w:i/>
          <w:iCs/>
          <w:noProof/>
          <w:szCs w:val="24"/>
        </w:rPr>
        <w:t>Proceeding of The International Conference on Economics and Business</w:t>
      </w:r>
      <w:r w:rsidRPr="00D24D1C">
        <w:rPr>
          <w:noProof/>
          <w:szCs w:val="24"/>
        </w:rPr>
        <w:t xml:space="preserve">, </w:t>
      </w:r>
      <w:r w:rsidRPr="00D24D1C">
        <w:rPr>
          <w:i/>
          <w:iCs/>
          <w:noProof/>
          <w:szCs w:val="24"/>
        </w:rPr>
        <w:t>1</w:t>
      </w:r>
      <w:r w:rsidRPr="00D24D1C">
        <w:rPr>
          <w:noProof/>
          <w:szCs w:val="24"/>
        </w:rPr>
        <w:t>(2), 291–309. https://doi.org/10.55606/iceb.v1i2.133</w:t>
      </w:r>
    </w:p>
    <w:p w14:paraId="62048959"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Triliana, S. P., &amp; Sutrisno, S. (2023). Company Performance and Financial Distress in Automotive and Component Companies Listed on the Indonesia Stock Exchange. </w:t>
      </w:r>
      <w:r w:rsidRPr="00D24D1C">
        <w:rPr>
          <w:i/>
          <w:iCs/>
          <w:noProof/>
          <w:szCs w:val="24"/>
        </w:rPr>
        <w:t>International Journal of Multidisciplinary Research and Analysis</w:t>
      </w:r>
      <w:r w:rsidRPr="00D24D1C">
        <w:rPr>
          <w:noProof/>
          <w:szCs w:val="24"/>
        </w:rPr>
        <w:t xml:space="preserve">, </w:t>
      </w:r>
      <w:r w:rsidRPr="00D24D1C">
        <w:rPr>
          <w:i/>
          <w:iCs/>
          <w:noProof/>
          <w:szCs w:val="24"/>
        </w:rPr>
        <w:t>06</w:t>
      </w:r>
      <w:r w:rsidRPr="00D24D1C">
        <w:rPr>
          <w:noProof/>
          <w:szCs w:val="24"/>
        </w:rPr>
        <w:t>(02), 699–708. https://doi.org/10.47191/ijmra/v6-i2-28</w:t>
      </w:r>
    </w:p>
    <w:p w14:paraId="6315F984" w14:textId="77777777" w:rsidR="00D24D1C" w:rsidRPr="00D24D1C" w:rsidRDefault="00D24D1C" w:rsidP="00D24D1C">
      <w:pPr>
        <w:widowControl w:val="0"/>
        <w:autoSpaceDE w:val="0"/>
        <w:autoSpaceDN w:val="0"/>
        <w:adjustRightInd w:val="0"/>
        <w:spacing w:after="120"/>
        <w:ind w:left="480" w:hanging="480"/>
        <w:rPr>
          <w:noProof/>
          <w:szCs w:val="24"/>
        </w:rPr>
      </w:pPr>
      <w:r w:rsidRPr="00D24D1C">
        <w:rPr>
          <w:noProof/>
          <w:szCs w:val="24"/>
        </w:rPr>
        <w:t xml:space="preserve">Utami, N. S., Isnurhadi, &amp; Aj, U. H. (2018). Characteristics As Determinants of Lq45 Firm Stock. </w:t>
      </w:r>
      <w:r w:rsidRPr="00D24D1C">
        <w:rPr>
          <w:i/>
          <w:iCs/>
          <w:noProof/>
          <w:szCs w:val="24"/>
        </w:rPr>
        <w:t>Jurnal Ilmiah Manajemen Bisnis Dan Terapan</w:t>
      </w:r>
      <w:r w:rsidRPr="00D24D1C">
        <w:rPr>
          <w:noProof/>
          <w:szCs w:val="24"/>
        </w:rPr>
        <w:t xml:space="preserve">, </w:t>
      </w:r>
      <w:r w:rsidRPr="00D24D1C">
        <w:rPr>
          <w:i/>
          <w:iCs/>
          <w:noProof/>
          <w:szCs w:val="24"/>
        </w:rPr>
        <w:t>15</w:t>
      </w:r>
      <w:r w:rsidRPr="00D24D1C">
        <w:rPr>
          <w:noProof/>
          <w:szCs w:val="24"/>
        </w:rPr>
        <w:t>(1), 9–22.</w:t>
      </w:r>
    </w:p>
    <w:p w14:paraId="5D122327" w14:textId="77777777" w:rsidR="00D24D1C" w:rsidRPr="00D24D1C" w:rsidRDefault="00D24D1C" w:rsidP="00D24D1C">
      <w:pPr>
        <w:widowControl w:val="0"/>
        <w:autoSpaceDE w:val="0"/>
        <w:autoSpaceDN w:val="0"/>
        <w:adjustRightInd w:val="0"/>
        <w:spacing w:after="120"/>
        <w:ind w:left="480" w:hanging="480"/>
        <w:rPr>
          <w:noProof/>
        </w:rPr>
      </w:pPr>
      <w:r w:rsidRPr="00D24D1C">
        <w:rPr>
          <w:noProof/>
          <w:szCs w:val="24"/>
        </w:rPr>
        <w:t xml:space="preserve">Wahyudi, S. M., &amp; Buga, N. L. P. (2021). Pengaruh Suku Bunga Kredit dan Risiko Kredit terhadap Return On Asset dengan Pendapatan Bunga sebagai Variabel Intervening. </w:t>
      </w:r>
      <w:r w:rsidRPr="00D24D1C">
        <w:rPr>
          <w:i/>
          <w:iCs/>
          <w:noProof/>
          <w:szCs w:val="24"/>
        </w:rPr>
        <w:t>Esensi: Jurnal Bisnis Dan Manajemen</w:t>
      </w:r>
      <w:r w:rsidRPr="00D24D1C">
        <w:rPr>
          <w:noProof/>
          <w:szCs w:val="24"/>
        </w:rPr>
        <w:t xml:space="preserve">, </w:t>
      </w:r>
      <w:r w:rsidRPr="00D24D1C">
        <w:rPr>
          <w:i/>
          <w:iCs/>
          <w:noProof/>
          <w:szCs w:val="24"/>
        </w:rPr>
        <w:t>10</w:t>
      </w:r>
      <w:r w:rsidRPr="00D24D1C">
        <w:rPr>
          <w:noProof/>
          <w:szCs w:val="24"/>
        </w:rPr>
        <w:t>(2), 147–160. https://doi.org/10.15408/ess.v10i2.18910</w:t>
      </w:r>
    </w:p>
    <w:p w14:paraId="00000022" w14:textId="6C88A00D" w:rsidR="002C3D2B" w:rsidRPr="006F3E1C" w:rsidRDefault="00A21DBB" w:rsidP="003018A5">
      <w:pPr>
        <w:spacing w:after="120"/>
        <w:jc w:val="both"/>
        <w:rPr>
          <w:szCs w:val="24"/>
        </w:rPr>
      </w:pPr>
      <w:r w:rsidRPr="006F3E1C">
        <w:rPr>
          <w:szCs w:val="24"/>
        </w:rPr>
        <w:fldChar w:fldCharType="end"/>
      </w:r>
    </w:p>
    <w:p w14:paraId="00000023" w14:textId="77777777" w:rsidR="002C3D2B" w:rsidRPr="006F3E1C" w:rsidRDefault="00EF6A6E">
      <w:pPr>
        <w:jc w:val="both"/>
        <w:rPr>
          <w:b/>
          <w:szCs w:val="24"/>
        </w:rPr>
      </w:pPr>
      <w:r w:rsidRPr="006F3E1C">
        <w:rPr>
          <w:b/>
          <w:szCs w:val="24"/>
        </w:rPr>
        <w:t>#Note:</w:t>
      </w:r>
    </w:p>
    <w:p w14:paraId="00000024" w14:textId="77777777" w:rsidR="002C3D2B" w:rsidRPr="006F3E1C" w:rsidRDefault="00EF6A6E">
      <w:pPr>
        <w:jc w:val="both"/>
        <w:rPr>
          <w:szCs w:val="24"/>
        </w:rPr>
      </w:pPr>
      <w:r w:rsidRPr="006F3E1C">
        <w:rPr>
          <w:szCs w:val="24"/>
        </w:rPr>
        <w:t>Journal volume in header adjusts.</w:t>
      </w:r>
    </w:p>
    <w:p w14:paraId="00000025" w14:textId="77777777" w:rsidR="002C3D2B" w:rsidRPr="006F3E1C" w:rsidRDefault="002C3D2B">
      <w:pPr>
        <w:spacing w:after="120"/>
        <w:jc w:val="both"/>
        <w:rPr>
          <w:szCs w:val="24"/>
        </w:rPr>
      </w:pPr>
    </w:p>
    <w:p w14:paraId="00000026" w14:textId="77777777" w:rsidR="002C3D2B" w:rsidRPr="006F3E1C" w:rsidRDefault="002C3D2B">
      <w:pPr>
        <w:spacing w:after="120"/>
        <w:ind w:firstLine="360"/>
        <w:jc w:val="both"/>
        <w:rPr>
          <w:szCs w:val="24"/>
        </w:rPr>
      </w:pPr>
    </w:p>
    <w:p w14:paraId="00000027" w14:textId="77777777" w:rsidR="002C3D2B" w:rsidRPr="006F3E1C" w:rsidRDefault="002C3D2B">
      <w:pPr>
        <w:spacing w:after="120"/>
        <w:ind w:firstLine="360"/>
        <w:jc w:val="both"/>
        <w:rPr>
          <w:szCs w:val="24"/>
        </w:rPr>
      </w:pPr>
    </w:p>
    <w:p w14:paraId="00000028" w14:textId="77777777" w:rsidR="002C3D2B" w:rsidRPr="006F3E1C" w:rsidRDefault="002C3D2B">
      <w:pPr>
        <w:spacing w:after="120"/>
        <w:ind w:firstLine="360"/>
        <w:jc w:val="both"/>
        <w:rPr>
          <w:szCs w:val="24"/>
        </w:rPr>
      </w:pPr>
    </w:p>
    <w:sectPr w:rsidR="002C3D2B" w:rsidRPr="006F3E1C">
      <w:type w:val="continuous"/>
      <w:pgSz w:w="11909" w:h="16834"/>
      <w:pgMar w:top="1418" w:right="1134" w:bottom="1418" w:left="1418" w:header="106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0008" w14:textId="77777777" w:rsidR="008A51D5" w:rsidRDefault="008A51D5">
      <w:r>
        <w:separator/>
      </w:r>
    </w:p>
  </w:endnote>
  <w:endnote w:type="continuationSeparator" w:id="0">
    <w:p w14:paraId="49FC38D4" w14:textId="77777777" w:rsidR="008A51D5" w:rsidRDefault="008A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42404C70" w:rsidR="00D35C05" w:rsidRDefault="00D35C05">
    <w:pPr>
      <w:pBdr>
        <w:top w:val="single" w:sz="24" w:space="1" w:color="622423"/>
        <w:left w:val="nil"/>
        <w:bottom w:val="nil"/>
        <w:right w:val="nil"/>
        <w:between w:val="nil"/>
      </w:pBdr>
      <w:tabs>
        <w:tab w:val="center" w:pos="4320"/>
        <w:tab w:val="right" w:pos="8640"/>
      </w:tabs>
      <w:rPr>
        <w:color w:val="000000"/>
        <w:szCs w:val="24"/>
      </w:rPr>
    </w:pPr>
    <w:r>
      <w:rPr>
        <w:color w:val="000000"/>
        <w:szCs w:val="24"/>
      </w:rPr>
      <w:t>International Journal of Economics, Business and Accounting Research</w:t>
    </w:r>
    <w:r>
      <w:rPr>
        <w:i/>
        <w:color w:val="000000"/>
        <w:szCs w:val="24"/>
      </w:rPr>
      <w:t xml:space="preserve"> </w:t>
    </w:r>
    <w:r>
      <w:rPr>
        <w:b/>
        <w:color w:val="000000"/>
        <w:szCs w:val="24"/>
      </w:rPr>
      <w:t xml:space="preserve">(IJEBAR) </w:t>
    </w:r>
    <w:r>
      <w:rPr>
        <w:color w:val="000000"/>
        <w:szCs w:val="24"/>
      </w:rPr>
      <w:t xml:space="preserve">Page </w:t>
    </w:r>
    <w:r>
      <w:rPr>
        <w:color w:val="000000"/>
        <w:szCs w:val="24"/>
      </w:rPr>
      <w:fldChar w:fldCharType="begin"/>
    </w:r>
    <w:r>
      <w:rPr>
        <w:color w:val="000000"/>
        <w:szCs w:val="24"/>
      </w:rPr>
      <w:instrText>PAGE</w:instrText>
    </w:r>
    <w:r>
      <w:rPr>
        <w:color w:val="000000"/>
        <w:szCs w:val="24"/>
      </w:rPr>
      <w:fldChar w:fldCharType="separate"/>
    </w:r>
    <w:r w:rsidR="00A94A8F">
      <w:rPr>
        <w:noProof/>
        <w:color w:val="000000"/>
        <w:szCs w:val="24"/>
      </w:rPr>
      <w:t>14</w:t>
    </w:r>
    <w:r>
      <w:rPr>
        <w:color w:val="000000"/>
        <w:szCs w:val="24"/>
      </w:rPr>
      <w:fldChar w:fldCharType="end"/>
    </w:r>
  </w:p>
  <w:p w14:paraId="00000030" w14:textId="77777777" w:rsidR="00D35C05" w:rsidRDefault="00D35C05">
    <w:pPr>
      <w:pBdr>
        <w:top w:val="nil"/>
        <w:left w:val="nil"/>
        <w:bottom w:val="nil"/>
        <w:right w:val="nil"/>
        <w:between w:val="nil"/>
      </w:pBdr>
      <w:tabs>
        <w:tab w:val="center" w:pos="4320"/>
        <w:tab w:val="right" w:pos="8640"/>
      </w:tabs>
      <w:jc w:val="right"/>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722D" w14:textId="77777777" w:rsidR="008A51D5" w:rsidRDefault="008A51D5">
      <w:r>
        <w:separator/>
      </w:r>
    </w:p>
  </w:footnote>
  <w:footnote w:type="continuationSeparator" w:id="0">
    <w:p w14:paraId="19BBAB78" w14:textId="77777777" w:rsidR="008A51D5" w:rsidRDefault="008A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D35C05" w:rsidRDefault="00B843FB">
    <w:pPr>
      <w:tabs>
        <w:tab w:val="center" w:pos="4680"/>
        <w:tab w:val="right" w:pos="9360"/>
      </w:tabs>
      <w:rPr>
        <w:b/>
        <w:color w:val="0000FF"/>
        <w:u w:val="single"/>
      </w:rPr>
    </w:pPr>
    <w:hyperlink r:id="rId1">
      <w:r w:rsidR="00D35C05">
        <w:rPr>
          <w:b/>
          <w:color w:val="000000"/>
          <w:highlight w:val="white"/>
        </w:rPr>
        <w:t xml:space="preserve">International Journal of Economics, </w:t>
      </w:r>
    </w:hyperlink>
    <w:hyperlink r:id="rId2">
      <w:r w:rsidR="00D35C05">
        <w:rPr>
          <w:b/>
        </w:rPr>
        <w:t xml:space="preserve">Business </w:t>
      </w:r>
    </w:hyperlink>
    <w:hyperlink r:id="rId3">
      <w:r w:rsidR="00D35C05">
        <w:rPr>
          <w:b/>
          <w:color w:val="000000"/>
          <w:highlight w:val="white"/>
        </w:rPr>
        <w:t xml:space="preserve">and Accounting Research ( </w:t>
      </w:r>
    </w:hyperlink>
    <w:hyperlink r:id="rId4">
      <w:r w:rsidR="00D35C05">
        <w:rPr>
          <w:b/>
        </w:rPr>
        <w:t xml:space="preserve">IJEBAR </w:t>
      </w:r>
    </w:hyperlink>
    <w:hyperlink r:id="rId5">
      <w:r w:rsidR="00D35C05">
        <w:rPr>
          <w:b/>
          <w:color w:val="000000"/>
          <w:highlight w:val="white"/>
        </w:rPr>
        <w:t>)</w:t>
      </w:r>
    </w:hyperlink>
    <w:r w:rsidR="00D35C05">
      <w:fldChar w:fldCharType="begin"/>
    </w:r>
    <w:r w:rsidR="00D35C05">
      <w:instrText xml:space="preserve"> HYPERLINK "https://www.onlinejournal.in/" </w:instrText>
    </w:r>
    <w:r w:rsidR="00D35C05">
      <w:fldChar w:fldCharType="separate"/>
    </w:r>
  </w:p>
  <w:p w14:paraId="0000002A" w14:textId="77777777" w:rsidR="00D35C05" w:rsidRDefault="00D35C05">
    <w:pPr>
      <w:tabs>
        <w:tab w:val="center" w:pos="4680"/>
        <w:tab w:val="right" w:pos="9360"/>
      </w:tabs>
      <w:rPr>
        <w:b/>
      </w:rPr>
    </w:pPr>
    <w:r>
      <w:fldChar w:fldCharType="end"/>
    </w:r>
    <w:hyperlink r:id="rId6">
      <w:r>
        <w:rPr>
          <w:b/>
          <w:color w:val="0000FF"/>
          <w:u w:val="single"/>
        </w:rPr>
        <w:t>Peer Reviewed – International Journal</w:t>
      </w:r>
    </w:hyperlink>
  </w:p>
  <w:p w14:paraId="0000002B" w14:textId="77777777" w:rsidR="00D35C05" w:rsidRDefault="00D35C05">
    <w:pPr>
      <w:tabs>
        <w:tab w:val="center" w:pos="4680"/>
        <w:tab w:val="right" w:pos="9360"/>
      </w:tabs>
      <w:rPr>
        <w:b/>
        <w:color w:val="0000FF"/>
        <w:u w:val="single"/>
      </w:rPr>
    </w:pPr>
    <w:r>
      <w:fldChar w:fldCharType="begin"/>
    </w:r>
    <w:r>
      <w:instrText xml:space="preserve"> HYPERLINK "https://www.onlinejournal.in/v3i92017/" </w:instrText>
    </w:r>
    <w:r>
      <w:fldChar w:fldCharType="separate"/>
    </w:r>
    <w:r>
      <w:rPr>
        <w:b/>
        <w:color w:val="0000FF"/>
        <w:u w:val="single"/>
      </w:rPr>
      <w:t>Vol-3, Issue-4, 2019 (IJEBAR)</w:t>
    </w:r>
  </w:p>
  <w:p w14:paraId="0000002C" w14:textId="77777777" w:rsidR="00D35C05" w:rsidRDefault="00D35C05">
    <w:pPr>
      <w:tabs>
        <w:tab w:val="center" w:pos="4680"/>
        <w:tab w:val="center" w:pos="9360"/>
      </w:tabs>
      <w:rPr>
        <w:b/>
      </w:rPr>
    </w:pPr>
    <w:r>
      <w:fldChar w:fldCharType="end"/>
    </w:r>
    <w:r>
      <w:rPr>
        <w:b/>
      </w:rPr>
      <w:t xml:space="preserve">E-ISSN: </w:t>
    </w:r>
    <w:r>
      <w:rPr>
        <w:b/>
        <w:color w:val="000000"/>
        <w:highlight w:val="white"/>
      </w:rPr>
      <w:t xml:space="preserve">2614-1280 P-ISSN </w:t>
    </w:r>
    <w:r>
      <w:rPr>
        <w:b/>
      </w:rPr>
      <w:t>2622-4771</w:t>
    </w:r>
  </w:p>
  <w:p w14:paraId="0000002D" w14:textId="77777777" w:rsidR="00D35C05" w:rsidRDefault="00B843FB">
    <w:pPr>
      <w:pBdr>
        <w:top w:val="nil"/>
        <w:left w:val="nil"/>
        <w:bottom w:val="nil"/>
        <w:right w:val="nil"/>
        <w:between w:val="nil"/>
      </w:pBdr>
      <w:tabs>
        <w:tab w:val="center" w:pos="4680"/>
        <w:tab w:val="right" w:pos="9360"/>
      </w:tabs>
      <w:rPr>
        <w:color w:val="000000"/>
        <w:szCs w:val="24"/>
      </w:rPr>
    </w:pPr>
    <w:hyperlink r:id="rId7">
      <w:r w:rsidR="00D35C05">
        <w:rPr>
          <w:color w:val="0000FF"/>
          <w:szCs w:val="24"/>
          <w:u w:val="single"/>
        </w:rPr>
        <w:t>https://jurnal.stie-aas.ac.id/index.php/IJEBAR</w:t>
      </w:r>
    </w:hyperlink>
    <w:r w:rsidR="00D35C05">
      <w:rPr>
        <w:color w:val="000000"/>
        <w:szCs w:val="24"/>
      </w:rPr>
      <w:t xml:space="preserve"> </w:t>
    </w:r>
  </w:p>
  <w:p w14:paraId="0000002E" w14:textId="77777777" w:rsidR="00D35C05" w:rsidRDefault="00D35C05">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22A0"/>
    <w:multiLevelType w:val="hybridMultilevel"/>
    <w:tmpl w:val="32A8D570"/>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0150556"/>
    <w:multiLevelType w:val="hybridMultilevel"/>
    <w:tmpl w:val="41A23A86"/>
    <w:lvl w:ilvl="0" w:tplc="27B83922">
      <w:start w:val="1316"/>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E1B7C4A"/>
    <w:multiLevelType w:val="multilevel"/>
    <w:tmpl w:val="CD909CEA"/>
    <w:lvl w:ilvl="0">
      <w:start w:val="3"/>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49D95747"/>
    <w:multiLevelType w:val="multilevel"/>
    <w:tmpl w:val="030AE0D8"/>
    <w:lvl w:ilvl="0">
      <w:start w:val="1"/>
      <w:numFmt w:val="decimal"/>
      <w:lvlText w:val="%1."/>
      <w:lvlJc w:val="left"/>
      <w:pPr>
        <w:ind w:left="1800" w:hanging="360"/>
      </w:pPr>
      <w:rPr>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58F3327D"/>
    <w:multiLevelType w:val="hybridMultilevel"/>
    <w:tmpl w:val="49F0DA9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284042959">
    <w:abstractNumId w:val="3"/>
  </w:num>
  <w:num w:numId="2" w16cid:durableId="1101074907">
    <w:abstractNumId w:val="2"/>
  </w:num>
  <w:num w:numId="3" w16cid:durableId="141047915">
    <w:abstractNumId w:val="4"/>
  </w:num>
  <w:num w:numId="4" w16cid:durableId="426273292">
    <w:abstractNumId w:val="0"/>
  </w:num>
  <w:num w:numId="5" w16cid:durableId="90899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2B"/>
    <w:rsid w:val="00007670"/>
    <w:rsid w:val="000549A6"/>
    <w:rsid w:val="0008580A"/>
    <w:rsid w:val="000B31A6"/>
    <w:rsid w:val="000D4965"/>
    <w:rsid w:val="001B5B82"/>
    <w:rsid w:val="002C0826"/>
    <w:rsid w:val="002C3D2B"/>
    <w:rsid w:val="002D6EFC"/>
    <w:rsid w:val="003018A5"/>
    <w:rsid w:val="003338DD"/>
    <w:rsid w:val="003F1CB4"/>
    <w:rsid w:val="004419EB"/>
    <w:rsid w:val="00493F03"/>
    <w:rsid w:val="004F66C3"/>
    <w:rsid w:val="005124E7"/>
    <w:rsid w:val="00586643"/>
    <w:rsid w:val="005A61CB"/>
    <w:rsid w:val="006368EA"/>
    <w:rsid w:val="006B27F0"/>
    <w:rsid w:val="006C58D7"/>
    <w:rsid w:val="006F3E1C"/>
    <w:rsid w:val="00710FB8"/>
    <w:rsid w:val="00716FEF"/>
    <w:rsid w:val="00815CF6"/>
    <w:rsid w:val="008671F3"/>
    <w:rsid w:val="008A51D5"/>
    <w:rsid w:val="008C49D1"/>
    <w:rsid w:val="009A3958"/>
    <w:rsid w:val="009B24DC"/>
    <w:rsid w:val="009D163C"/>
    <w:rsid w:val="00A21DBB"/>
    <w:rsid w:val="00A875FB"/>
    <w:rsid w:val="00A94A8F"/>
    <w:rsid w:val="00AC1463"/>
    <w:rsid w:val="00AD0078"/>
    <w:rsid w:val="00B6134B"/>
    <w:rsid w:val="00B843FB"/>
    <w:rsid w:val="00BB560C"/>
    <w:rsid w:val="00BD216A"/>
    <w:rsid w:val="00C90B64"/>
    <w:rsid w:val="00CF71FE"/>
    <w:rsid w:val="00D24D1C"/>
    <w:rsid w:val="00D35C05"/>
    <w:rsid w:val="00D842BB"/>
    <w:rsid w:val="00DA672A"/>
    <w:rsid w:val="00DD0E1D"/>
    <w:rsid w:val="00DD3F46"/>
    <w:rsid w:val="00E5423F"/>
    <w:rsid w:val="00E76D57"/>
    <w:rsid w:val="00ED017F"/>
    <w:rsid w:val="00EF6A6E"/>
    <w:rsid w:val="00FB6A69"/>
    <w:rsid w:val="00FE38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8D45"/>
  <w15:docId w15:val="{EB29A088-34EE-4828-886C-4A0B01CF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BB"/>
    <w:rPr>
      <w:szCs w:val="20"/>
    </w:rPr>
  </w:style>
  <w:style w:type="paragraph" w:styleId="Judul1">
    <w:name w:val="heading 1"/>
    <w:basedOn w:val="Normal"/>
    <w:next w:val="Normal"/>
    <w:link w:val="Judul1KAR"/>
    <w:qFormat/>
    <w:rsid w:val="00D73172"/>
    <w:pPr>
      <w:keepNext/>
      <w:outlineLvl w:val="0"/>
    </w:pPr>
    <w:rPr>
      <w:b/>
      <w:i/>
      <w:sz w:val="40"/>
    </w:rPr>
  </w:style>
  <w:style w:type="paragraph" w:styleId="Judul2">
    <w:name w:val="heading 2"/>
    <w:basedOn w:val="Normal"/>
    <w:next w:val="Normal"/>
    <w:link w:val="Judul2KAR"/>
    <w:qFormat/>
    <w:rsid w:val="00D73172"/>
    <w:pPr>
      <w:keepNext/>
      <w:outlineLvl w:val="1"/>
    </w:pPr>
    <w:rPr>
      <w:b/>
      <w:sz w:val="32"/>
    </w:rPr>
  </w:style>
  <w:style w:type="paragraph" w:styleId="Judul3">
    <w:name w:val="heading 3"/>
    <w:basedOn w:val="Normal"/>
    <w:next w:val="Normal"/>
    <w:link w:val="Judul3K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pPr>
      <w:keepNext/>
      <w:keepLines/>
      <w:spacing w:before="240" w:after="40"/>
      <w:outlineLvl w:val="3"/>
    </w:pPr>
    <w:rPr>
      <w:b/>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qFormat/>
    <w:rsid w:val="00D73172"/>
    <w:pPr>
      <w:jc w:val="center"/>
    </w:pPr>
    <w:rPr>
      <w:b/>
      <w:sz w:val="20"/>
      <w:szCs w:val="24"/>
    </w:rPr>
  </w:style>
  <w:style w:type="character" w:customStyle="1" w:styleId="Judul1KAR">
    <w:name w:val="Judul 1 KAR"/>
    <w:basedOn w:val="FontParagrafDefault"/>
    <w:link w:val="Judul1"/>
    <w:rsid w:val="00D73172"/>
    <w:rPr>
      <w:rFonts w:eastAsia="Times New Roman"/>
      <w:b/>
      <w:i/>
      <w:sz w:val="40"/>
      <w:szCs w:val="20"/>
    </w:rPr>
  </w:style>
  <w:style w:type="character" w:customStyle="1" w:styleId="Judul2KAR">
    <w:name w:val="Judul 2 KAR"/>
    <w:basedOn w:val="FontParagrafDefault"/>
    <w:link w:val="Judul2"/>
    <w:rsid w:val="00D73172"/>
    <w:rPr>
      <w:rFonts w:eastAsia="Times New Roman"/>
      <w:b/>
      <w:sz w:val="32"/>
      <w:szCs w:val="20"/>
    </w:rPr>
  </w:style>
  <w:style w:type="character" w:styleId="Hyperlink">
    <w:name w:val="Hyperlink"/>
    <w:basedOn w:val="FontParagrafDefault"/>
    <w:uiPriority w:val="99"/>
    <w:rsid w:val="00D73172"/>
    <w:rPr>
      <w:color w:val="0000FF"/>
      <w:u w:val="single"/>
    </w:rPr>
  </w:style>
  <w:style w:type="character" w:customStyle="1" w:styleId="JudulKAR">
    <w:name w:val="Judul KAR"/>
    <w:basedOn w:val="FontParagrafDefault"/>
    <w:link w:val="Judul"/>
    <w:rsid w:val="00D73172"/>
    <w:rPr>
      <w:rFonts w:eastAsia="Times New Roman"/>
      <w:b/>
      <w:sz w:val="20"/>
    </w:rPr>
  </w:style>
  <w:style w:type="character" w:customStyle="1" w:styleId="FooterKAR">
    <w:name w:val="Footer KAR"/>
    <w:basedOn w:val="FontParagrafDefault"/>
    <w:link w:val="Footer"/>
    <w:uiPriority w:val="99"/>
    <w:rsid w:val="00D73172"/>
    <w:rPr>
      <w:rFonts w:eastAsia="Times New Roman"/>
    </w:rPr>
  </w:style>
  <w:style w:type="paragraph" w:styleId="Footer">
    <w:name w:val="footer"/>
    <w:basedOn w:val="Normal"/>
    <w:link w:val="FooterKAR"/>
    <w:uiPriority w:val="99"/>
    <w:rsid w:val="00D73172"/>
    <w:pPr>
      <w:tabs>
        <w:tab w:val="center" w:pos="4320"/>
        <w:tab w:val="right" w:pos="8640"/>
      </w:tabs>
    </w:pPr>
    <w:rPr>
      <w:szCs w:val="24"/>
    </w:rPr>
  </w:style>
  <w:style w:type="character" w:customStyle="1" w:styleId="FooterChar1">
    <w:name w:val="Footer Char1"/>
    <w:basedOn w:val="FontParagrafDefaul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TeksIsi"/>
    <w:rsid w:val="00D73172"/>
  </w:style>
  <w:style w:type="character" w:customStyle="1" w:styleId="TitleChar1">
    <w:name w:val="Title Char1"/>
    <w:basedOn w:val="FontParagrafDefaul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fi">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KisiTabel">
    <w:name w:val="Table Grid"/>
    <w:basedOn w:val="TabelNormal"/>
    <w:uiPriority w:val="3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eksIsi">
    <w:name w:val="Body Text Indent"/>
    <w:basedOn w:val="Normal"/>
    <w:link w:val="IndenTeksIsiKAR"/>
    <w:uiPriority w:val="99"/>
    <w:unhideWhenUsed/>
    <w:rsid w:val="00D73172"/>
    <w:pPr>
      <w:spacing w:after="120"/>
      <w:ind w:left="360"/>
    </w:pPr>
  </w:style>
  <w:style w:type="character" w:customStyle="1" w:styleId="IndenTeksIsiKAR">
    <w:name w:val="Inden Teks Isi KAR"/>
    <w:basedOn w:val="FontParagrafDefault"/>
    <w:link w:val="IndenTeksIsi"/>
    <w:uiPriority w:val="99"/>
    <w:rsid w:val="00D73172"/>
    <w:rPr>
      <w:rFonts w:eastAsia="Times New Roman"/>
      <w:szCs w:val="20"/>
    </w:rPr>
  </w:style>
  <w:style w:type="paragraph" w:styleId="TeksIsi">
    <w:name w:val="Body Text"/>
    <w:basedOn w:val="Normal"/>
    <w:link w:val="TeksIsiKAR"/>
    <w:uiPriority w:val="99"/>
    <w:semiHidden/>
    <w:unhideWhenUsed/>
    <w:rsid w:val="00D73172"/>
    <w:pPr>
      <w:spacing w:after="120"/>
    </w:pPr>
  </w:style>
  <w:style w:type="character" w:customStyle="1" w:styleId="TeksIsiKAR">
    <w:name w:val="Teks Isi KAR"/>
    <w:basedOn w:val="FontParagrafDefault"/>
    <w:link w:val="TeksIsi"/>
    <w:uiPriority w:val="99"/>
    <w:semiHidden/>
    <w:rsid w:val="00D73172"/>
    <w:rPr>
      <w:rFonts w:eastAsia="Times New Roman"/>
      <w:szCs w:val="20"/>
    </w:rPr>
  </w:style>
  <w:style w:type="paragraph" w:styleId="DaftarParagraf">
    <w:name w:val="List Paragraph"/>
    <w:basedOn w:val="Normal"/>
    <w:uiPriority w:val="34"/>
    <w:qFormat/>
    <w:rsid w:val="00D73172"/>
    <w:pPr>
      <w:ind w:left="720"/>
      <w:contextualSpacing/>
    </w:pPr>
  </w:style>
  <w:style w:type="character" w:customStyle="1" w:styleId="Judul3KAR">
    <w:name w:val="Judul 3 KAR"/>
    <w:basedOn w:val="FontParagrafDefault"/>
    <w:link w:val="Judul3"/>
    <w:uiPriority w:val="9"/>
    <w:rsid w:val="00D73172"/>
    <w:rPr>
      <w:rFonts w:asciiTheme="majorHAnsi" w:eastAsiaTheme="majorEastAsia" w:hAnsiTheme="majorHAnsi" w:cstheme="majorBidi"/>
      <w:b/>
      <w:bCs/>
      <w:color w:val="4F81BD" w:themeColor="accent1"/>
      <w:szCs w:val="20"/>
    </w:rPr>
  </w:style>
  <w:style w:type="character" w:styleId="Penekanan">
    <w:name w:val="Emphasis"/>
    <w:basedOn w:val="FontParagrafDefault"/>
    <w:uiPriority w:val="20"/>
    <w:qFormat/>
    <w:rsid w:val="00D73172"/>
    <w:rPr>
      <w:i/>
      <w:iCs/>
    </w:rPr>
  </w:style>
  <w:style w:type="character" w:styleId="SebutanHTML">
    <w:name w:val="HTML Cite"/>
    <w:basedOn w:val="FontParagrafDefault"/>
    <w:uiPriority w:val="99"/>
    <w:semiHidden/>
    <w:unhideWhenUsed/>
    <w:rsid w:val="007432C2"/>
    <w:rPr>
      <w:i/>
      <w:iCs/>
    </w:rPr>
  </w:style>
  <w:style w:type="paragraph" w:styleId="Header">
    <w:name w:val="header"/>
    <w:basedOn w:val="Normal"/>
    <w:link w:val="HeaderKAR"/>
    <w:uiPriority w:val="99"/>
    <w:unhideWhenUsed/>
    <w:rsid w:val="007A0CBD"/>
    <w:pPr>
      <w:tabs>
        <w:tab w:val="center" w:pos="4680"/>
        <w:tab w:val="right" w:pos="9360"/>
      </w:tabs>
    </w:pPr>
  </w:style>
  <w:style w:type="character" w:customStyle="1" w:styleId="HeaderKAR">
    <w:name w:val="Header KAR"/>
    <w:basedOn w:val="FontParagrafDefault"/>
    <w:link w:val="Header"/>
    <w:uiPriority w:val="99"/>
    <w:rsid w:val="007A0CBD"/>
    <w:rPr>
      <w:rFonts w:eastAsia="Times New Roman"/>
      <w:szCs w:val="20"/>
    </w:rPr>
  </w:style>
  <w:style w:type="paragraph" w:styleId="TeksBalon">
    <w:name w:val="Balloon Text"/>
    <w:basedOn w:val="Normal"/>
    <w:link w:val="TeksBalonKAR"/>
    <w:uiPriority w:val="99"/>
    <w:semiHidden/>
    <w:unhideWhenUsed/>
    <w:rsid w:val="008A398D"/>
    <w:rPr>
      <w:rFonts w:ascii="Tahoma" w:hAnsi="Tahoma" w:cs="Tahoma"/>
      <w:sz w:val="16"/>
      <w:szCs w:val="16"/>
    </w:rPr>
  </w:style>
  <w:style w:type="character" w:customStyle="1" w:styleId="TeksBalonKAR">
    <w:name w:val="Teks Balon KAR"/>
    <w:basedOn w:val="FontParagrafDefault"/>
    <w:link w:val="TeksBalon"/>
    <w:uiPriority w:val="99"/>
    <w:semiHidden/>
    <w:rsid w:val="008A398D"/>
    <w:rPr>
      <w:rFonts w:ascii="Tahoma" w:eastAsia="Times New Roman" w:hAnsi="Tahoma" w:cs="Tahoma"/>
      <w:sz w:val="16"/>
      <w:szCs w:val="16"/>
    </w:rPr>
  </w:style>
  <w:style w:type="character" w:customStyle="1" w:styleId="tlid-translation">
    <w:name w:val="tlid-translation"/>
    <w:basedOn w:val="FontParagrafDefault"/>
    <w:rsid w:val="00020CCF"/>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1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mailto:sestiasih@unipasby.ac.id3" TargetMode="Externa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image" Target="media/image2.png"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afrizal@unipasby.ac.id2" TargetMode="External" /><Relationship Id="rId5" Type="http://schemas.openxmlformats.org/officeDocument/2006/relationships/settings" Target="settings.xml" /><Relationship Id="rId15" Type="http://schemas.openxmlformats.org/officeDocument/2006/relationships/image" Target="media/image1.png" /><Relationship Id="rId10" Type="http://schemas.openxmlformats.org/officeDocument/2006/relationships/hyperlink" Target="mailto:abcde@gmail.com" TargetMode="External" /><Relationship Id="rId4" Type="http://schemas.openxmlformats.org/officeDocument/2006/relationships/styles" Target="styles.xml" /><Relationship Id="rId9" Type="http://schemas.openxmlformats.org/officeDocument/2006/relationships/hyperlink" Target="mailto:email@gmail.com" TargetMode="Externa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3" Type="http://schemas.openxmlformats.org/officeDocument/2006/relationships/hyperlink" Target="https://www.onlinejournal.in/" TargetMode="External" /><Relationship Id="rId7" Type="http://schemas.openxmlformats.org/officeDocument/2006/relationships/hyperlink" Target="https://jurnal.stie-aas.ac.id/index.php/IJEBAR" TargetMode="External" /><Relationship Id="rId2" Type="http://schemas.openxmlformats.org/officeDocument/2006/relationships/hyperlink" Target="https://www.onlinejournal.in/" TargetMode="External" /><Relationship Id="rId1" Type="http://schemas.openxmlformats.org/officeDocument/2006/relationships/hyperlink" Target="https://www.onlinejournal.in/" TargetMode="External" /><Relationship Id="rId6" Type="http://schemas.openxmlformats.org/officeDocument/2006/relationships/hyperlink" Target="https://www.onlinejournal.in/ijir/" TargetMode="External" /><Relationship Id="rId5" Type="http://schemas.openxmlformats.org/officeDocument/2006/relationships/hyperlink" Target="https://www.onlinejournal.in/" TargetMode="External" /><Relationship Id="rId4" Type="http://schemas.openxmlformats.org/officeDocument/2006/relationships/hyperlink" Target="https://www.onlinejournal.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fURKN76rYK5Di6nWR8lWadWNA==">CgMxLjAyCGguZ2pkZ3hzOAByMTBCMjQzcndBYnpvVEZSMkpWUjFabldrVXdMWFl3VEZGSk9GTnZZbEl6VEU5eVdrSnY=</go:docsCustomData>
</go:gDocsCustomXmlDataStorage>
</file>

<file path=customXml/itemProps1.xml><?xml version="1.0" encoding="utf-8"?>
<ds:datastoreItem xmlns:ds="http://schemas.openxmlformats.org/officeDocument/2006/customXml" ds:itemID="{169DCFCC-91B0-41DE-9556-BB81E825D81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14642</Words>
  <Characters>83463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Ina Laila Khuzairina</cp:lastModifiedBy>
  <cp:revision>2</cp:revision>
  <dcterms:created xsi:type="dcterms:W3CDTF">2024-07-10T06:18:00Z</dcterms:created>
  <dcterms:modified xsi:type="dcterms:W3CDTF">2024-07-10T06:18:00Z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9c350dc8-36ad-32c8-8b1b-48d73b2c8735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