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9918" w14:textId="77777777" w:rsidR="00E712CA" w:rsidRDefault="00E712CA" w:rsidP="0092153F">
      <w:pPr>
        <w:pStyle w:val="Title"/>
        <w:tabs>
          <w:tab w:val="left" w:pos="-5400"/>
          <w:tab w:val="left" w:pos="-3330"/>
        </w:tabs>
        <w:rPr>
          <w:sz w:val="28"/>
          <w:szCs w:val="28"/>
          <w:lang w:val="en"/>
        </w:rPr>
      </w:pPr>
    </w:p>
    <w:p w14:paraId="0AD25505" w14:textId="074841FF" w:rsidR="004B7814" w:rsidRPr="0092153F" w:rsidRDefault="00387E22" w:rsidP="0092153F">
      <w:pPr>
        <w:pStyle w:val="Title"/>
        <w:tabs>
          <w:tab w:val="left" w:pos="-5400"/>
          <w:tab w:val="left" w:pos="-3330"/>
        </w:tabs>
        <w:rPr>
          <w:sz w:val="28"/>
          <w:szCs w:val="28"/>
        </w:rPr>
      </w:pPr>
      <w:r>
        <w:rPr>
          <w:sz w:val="28"/>
          <w:szCs w:val="28"/>
          <w:lang w:val="en"/>
        </w:rPr>
        <w:t>THE EFFECT OF REVENUE</w:t>
      </w:r>
      <w:r w:rsidR="005966F3" w:rsidRPr="0092153F">
        <w:rPr>
          <w:sz w:val="28"/>
          <w:szCs w:val="28"/>
          <w:lang w:val="en"/>
        </w:rPr>
        <w:t xml:space="preserve"> ON CAPITAL EXPENDITURE, INFRASTRUCTURE FINANCING, GOVERNMENT ACCOUNTABILIT</w:t>
      </w:r>
      <w:r>
        <w:rPr>
          <w:sz w:val="28"/>
          <w:szCs w:val="28"/>
          <w:lang w:val="en"/>
        </w:rPr>
        <w:t>Y PERFORMANCE</w:t>
      </w:r>
      <w:r w:rsidR="00ED5472">
        <w:rPr>
          <w:sz w:val="28"/>
          <w:szCs w:val="28"/>
          <w:lang w:val="en"/>
        </w:rPr>
        <w:t xml:space="preserve"> SYSTEM</w:t>
      </w:r>
      <w:r>
        <w:rPr>
          <w:sz w:val="28"/>
          <w:szCs w:val="28"/>
          <w:lang w:val="en"/>
        </w:rPr>
        <w:t xml:space="preserve"> AND BUDGET REFOCUSING</w:t>
      </w:r>
      <w:r w:rsidR="005966F3" w:rsidRPr="0092153F">
        <w:rPr>
          <w:sz w:val="28"/>
          <w:szCs w:val="28"/>
          <w:lang w:val="en"/>
        </w:rPr>
        <w:t xml:space="preserve"> IN </w:t>
      </w:r>
      <w:r>
        <w:rPr>
          <w:sz w:val="28"/>
          <w:szCs w:val="28"/>
          <w:lang w:val="en"/>
        </w:rPr>
        <w:t>CENTRAL JAVA PROVINCE DURING</w:t>
      </w:r>
      <w:r w:rsidR="005966F3" w:rsidRPr="0092153F">
        <w:rPr>
          <w:sz w:val="28"/>
          <w:szCs w:val="28"/>
          <w:lang w:val="en"/>
        </w:rPr>
        <w:t xml:space="preserve"> PANDEMIC</w:t>
      </w:r>
    </w:p>
    <w:p w14:paraId="42145126" w14:textId="77777777" w:rsidR="00D73172" w:rsidRPr="0092153F" w:rsidRDefault="00D73172" w:rsidP="0092153F">
      <w:pPr>
        <w:jc w:val="center"/>
        <w:rPr>
          <w:b/>
          <w:sz w:val="28"/>
          <w:szCs w:val="28"/>
        </w:rPr>
      </w:pPr>
    </w:p>
    <w:p w14:paraId="2079E3DA" w14:textId="3F87A68F" w:rsidR="00D73172" w:rsidRPr="00C653E1" w:rsidRDefault="005966F3" w:rsidP="0092153F">
      <w:pPr>
        <w:jc w:val="center"/>
        <w:rPr>
          <w:b/>
          <w:sz w:val="20"/>
        </w:rPr>
      </w:pPr>
      <w:r w:rsidRPr="00C653E1">
        <w:rPr>
          <w:b/>
          <w:sz w:val="20"/>
          <w:lang w:val="en"/>
        </w:rPr>
        <w:t>Desy Meliawati</w:t>
      </w:r>
      <w:r w:rsidR="00D73172" w:rsidRPr="00C653E1">
        <w:rPr>
          <w:b/>
          <w:sz w:val="20"/>
          <w:vertAlign w:val="superscript"/>
          <w:lang w:val="en"/>
        </w:rPr>
        <w:t>1</w:t>
      </w:r>
      <w:r>
        <w:rPr>
          <w:lang w:val="en"/>
        </w:rPr>
        <w:t xml:space="preserve">) </w:t>
      </w:r>
      <w:r w:rsidRPr="00C653E1">
        <w:rPr>
          <w:b/>
          <w:sz w:val="20"/>
          <w:lang w:val="en"/>
        </w:rPr>
        <w:t xml:space="preserve"> Novi </w:t>
      </w:r>
      <w:proofErr w:type="spellStart"/>
      <w:r w:rsidRPr="00C653E1">
        <w:rPr>
          <w:b/>
          <w:sz w:val="20"/>
          <w:lang w:val="en"/>
        </w:rPr>
        <w:t>Dirgantari</w:t>
      </w:r>
      <w:proofErr w:type="spellEnd"/>
      <w:r w:rsidRPr="00C653E1">
        <w:rPr>
          <w:b/>
          <w:sz w:val="20"/>
          <w:lang w:val="en"/>
        </w:rPr>
        <w:t xml:space="preserve"> </w:t>
      </w:r>
      <w:r w:rsidR="00D73172" w:rsidRPr="00C653E1">
        <w:rPr>
          <w:b/>
          <w:sz w:val="20"/>
          <w:vertAlign w:val="superscript"/>
          <w:lang w:val="en"/>
        </w:rPr>
        <w:t xml:space="preserve"> 2</w:t>
      </w:r>
      <w:r>
        <w:rPr>
          <w:lang w:val="en"/>
        </w:rPr>
        <w:t xml:space="preserve">) </w:t>
      </w:r>
      <w:r w:rsidRPr="00C653E1">
        <w:rPr>
          <w:b/>
          <w:bCs/>
          <w:sz w:val="20"/>
          <w:lang w:val="en"/>
        </w:rPr>
        <w:t xml:space="preserve"> </w:t>
      </w:r>
      <w:proofErr w:type="spellStart"/>
      <w:r w:rsidRPr="00C653E1">
        <w:rPr>
          <w:b/>
          <w:bCs/>
          <w:sz w:val="20"/>
          <w:lang w:val="en"/>
        </w:rPr>
        <w:t>Eko</w:t>
      </w:r>
      <w:proofErr w:type="spellEnd"/>
      <w:r w:rsidRPr="00C653E1">
        <w:rPr>
          <w:b/>
          <w:bCs/>
          <w:sz w:val="20"/>
          <w:lang w:val="en"/>
        </w:rPr>
        <w:t xml:space="preserve"> </w:t>
      </w:r>
      <w:proofErr w:type="spellStart"/>
      <w:r w:rsidRPr="00C653E1">
        <w:rPr>
          <w:b/>
          <w:bCs/>
          <w:sz w:val="20"/>
          <w:lang w:val="en"/>
        </w:rPr>
        <w:t>Hariy</w:t>
      </w:r>
      <w:r w:rsidR="00A67DC1">
        <w:rPr>
          <w:b/>
          <w:bCs/>
          <w:sz w:val="20"/>
          <w:lang w:val="en"/>
        </w:rPr>
        <w:t>anto</w:t>
      </w:r>
      <w:proofErr w:type="spellEnd"/>
      <w:r w:rsidRPr="00C653E1">
        <w:rPr>
          <w:b/>
          <w:bCs/>
          <w:sz w:val="20"/>
          <w:lang w:val="en"/>
        </w:rPr>
        <w:t xml:space="preserve"> </w:t>
      </w:r>
      <w:r w:rsidRPr="00C653E1">
        <w:rPr>
          <w:b/>
          <w:bCs/>
          <w:sz w:val="20"/>
          <w:vertAlign w:val="superscript"/>
          <w:lang w:val="en"/>
        </w:rPr>
        <w:t>3</w:t>
      </w:r>
      <w:r>
        <w:rPr>
          <w:lang w:val="en"/>
        </w:rPr>
        <w:t xml:space="preserve">) </w:t>
      </w:r>
      <w:r w:rsidRPr="00C653E1">
        <w:rPr>
          <w:b/>
          <w:bCs/>
          <w:sz w:val="20"/>
          <w:lang w:val="en"/>
        </w:rPr>
        <w:t xml:space="preserve"> </w:t>
      </w:r>
      <w:proofErr w:type="spellStart"/>
      <w:r w:rsidRPr="00C653E1">
        <w:rPr>
          <w:b/>
          <w:bCs/>
          <w:sz w:val="20"/>
          <w:lang w:val="en"/>
        </w:rPr>
        <w:t>Bima</w:t>
      </w:r>
      <w:proofErr w:type="spellEnd"/>
      <w:r w:rsidRPr="00C653E1">
        <w:rPr>
          <w:b/>
          <w:bCs/>
          <w:sz w:val="20"/>
          <w:lang w:val="en"/>
        </w:rPr>
        <w:t xml:space="preserve"> </w:t>
      </w:r>
      <w:proofErr w:type="spellStart"/>
      <w:r w:rsidRPr="00C653E1">
        <w:rPr>
          <w:b/>
          <w:bCs/>
          <w:sz w:val="20"/>
          <w:lang w:val="en"/>
        </w:rPr>
        <w:t>Cinintya</w:t>
      </w:r>
      <w:proofErr w:type="spellEnd"/>
      <w:r w:rsidRPr="00C653E1">
        <w:rPr>
          <w:b/>
          <w:bCs/>
          <w:sz w:val="20"/>
          <w:lang w:val="en"/>
        </w:rPr>
        <w:t xml:space="preserve"> </w:t>
      </w:r>
      <w:proofErr w:type="spellStart"/>
      <w:r w:rsidRPr="00C653E1">
        <w:rPr>
          <w:b/>
          <w:bCs/>
          <w:sz w:val="20"/>
          <w:lang w:val="en"/>
        </w:rPr>
        <w:t>Pratama</w:t>
      </w:r>
      <w:proofErr w:type="spellEnd"/>
      <w:r w:rsidRPr="00C653E1">
        <w:rPr>
          <w:b/>
          <w:bCs/>
          <w:sz w:val="20"/>
          <w:lang w:val="en"/>
        </w:rPr>
        <w:t xml:space="preserve"> </w:t>
      </w:r>
      <w:r w:rsidRPr="00C653E1">
        <w:rPr>
          <w:b/>
          <w:bCs/>
          <w:sz w:val="20"/>
          <w:vertAlign w:val="superscript"/>
          <w:lang w:val="en"/>
        </w:rPr>
        <w:t>4</w:t>
      </w:r>
      <w:r>
        <w:rPr>
          <w:lang w:val="en"/>
        </w:rPr>
        <w:t xml:space="preserve">)  </w:t>
      </w:r>
    </w:p>
    <w:p w14:paraId="14F05ED5" w14:textId="4F0BA576" w:rsidR="00486F2C" w:rsidRPr="00C653E1" w:rsidRDefault="00A67DC1" w:rsidP="0092153F">
      <w:pPr>
        <w:jc w:val="center"/>
        <w:rPr>
          <w:sz w:val="20"/>
        </w:rPr>
      </w:pPr>
      <w:r>
        <w:rPr>
          <w:sz w:val="20"/>
          <w:lang w:val="en"/>
        </w:rPr>
        <w:t xml:space="preserve">University of Muhammadiyah </w:t>
      </w:r>
      <w:proofErr w:type="spellStart"/>
      <w:r>
        <w:rPr>
          <w:sz w:val="20"/>
          <w:lang w:val="en"/>
        </w:rPr>
        <w:t>Purwokerto</w:t>
      </w:r>
      <w:r w:rsidR="005966F3" w:rsidRPr="00C653E1">
        <w:rPr>
          <w:sz w:val="20"/>
          <w:lang w:val="en"/>
        </w:rPr>
        <w:t>,Indonesia</w:t>
      </w:r>
      <w:proofErr w:type="spellEnd"/>
      <w:r w:rsidR="005966F3" w:rsidRPr="00C653E1">
        <w:rPr>
          <w:sz w:val="20"/>
          <w:vertAlign w:val="superscript"/>
          <w:lang w:val="en"/>
        </w:rPr>
        <w:t xml:space="preserve"> 1,2,3,4</w:t>
      </w:r>
    </w:p>
    <w:p w14:paraId="57E56BE2" w14:textId="40F3BC29" w:rsidR="005966F3" w:rsidRPr="00C653E1" w:rsidRDefault="00D73172" w:rsidP="0092153F">
      <w:pPr>
        <w:pStyle w:val="PageNumber1"/>
        <w:rPr>
          <w:rFonts w:ascii="Times New Roman" w:hAnsi="Times New Roman"/>
          <w:i/>
          <w:sz w:val="20"/>
        </w:rPr>
      </w:pPr>
      <w:r w:rsidRPr="00C653E1">
        <w:rPr>
          <w:i/>
          <w:sz w:val="20"/>
          <w:lang w:val="en"/>
        </w:rPr>
        <w:t xml:space="preserve">E-mail : </w:t>
      </w:r>
      <w:hyperlink r:id="rId8" w:history="1">
        <w:r w:rsidR="005966F3" w:rsidRPr="00C653E1">
          <w:rPr>
            <w:rStyle w:val="Hyperlink"/>
            <w:i/>
            <w:sz w:val="20"/>
            <w:lang w:val="en"/>
          </w:rPr>
          <w:t>desymeliawati46@gmail.com</w:t>
        </w:r>
      </w:hyperlink>
      <w:r w:rsidR="005966F3" w:rsidRPr="00C653E1">
        <w:rPr>
          <w:i/>
          <w:sz w:val="20"/>
          <w:vertAlign w:val="superscript"/>
          <w:lang w:val="en"/>
        </w:rPr>
        <w:t xml:space="preserve"> 1</w:t>
      </w:r>
      <w:hyperlink r:id="rId9" w:history="1">
        <w:r w:rsidR="0092153F" w:rsidRPr="00C653E1">
          <w:rPr>
            <w:rStyle w:val="Hyperlink"/>
            <w:i/>
            <w:sz w:val="20"/>
            <w:lang w:val="en"/>
          </w:rPr>
          <w:t xml:space="preserve"> novdirgantari@ymail.com</w:t>
        </w:r>
      </w:hyperlink>
      <w:r w:rsidR="005966F3" w:rsidRPr="00C653E1">
        <w:rPr>
          <w:i/>
          <w:sz w:val="20"/>
          <w:vertAlign w:val="superscript"/>
          <w:lang w:val="en"/>
        </w:rPr>
        <w:t xml:space="preserve"> 2</w:t>
      </w:r>
    </w:p>
    <w:p w14:paraId="6472D9AF" w14:textId="6E98B6BE" w:rsidR="001C4E60" w:rsidRPr="00C653E1" w:rsidRDefault="00000000" w:rsidP="0092153F">
      <w:pPr>
        <w:pStyle w:val="PageNumber1"/>
        <w:rPr>
          <w:rFonts w:ascii="Times New Roman" w:hAnsi="Times New Roman"/>
          <w:i/>
          <w:sz w:val="20"/>
        </w:rPr>
      </w:pPr>
      <w:hyperlink r:id="rId10" w:history="1">
        <w:r w:rsidR="0092153F" w:rsidRPr="00C653E1">
          <w:rPr>
            <w:rStyle w:val="Hyperlink"/>
            <w:i/>
            <w:sz w:val="20"/>
            <w:lang w:val="en"/>
          </w:rPr>
          <w:t>ekoh0361@gmail.com</w:t>
        </w:r>
      </w:hyperlink>
      <w:r w:rsidR="005966F3" w:rsidRPr="00C653E1">
        <w:rPr>
          <w:i/>
          <w:sz w:val="20"/>
          <w:vertAlign w:val="superscript"/>
          <w:lang w:val="en"/>
        </w:rPr>
        <w:t xml:space="preserve">  3</w:t>
      </w:r>
      <w:hyperlink r:id="rId11" w:history="1">
        <w:r w:rsidR="0092153F" w:rsidRPr="00C653E1">
          <w:rPr>
            <w:rStyle w:val="Hyperlink"/>
            <w:i/>
            <w:sz w:val="20"/>
            <w:lang w:val="en"/>
          </w:rPr>
          <w:t xml:space="preserve"> pratamabima@gmail.com</w:t>
        </w:r>
      </w:hyperlink>
      <w:r w:rsidR="005966F3" w:rsidRPr="00C653E1">
        <w:rPr>
          <w:i/>
          <w:sz w:val="20"/>
          <w:vertAlign w:val="superscript"/>
          <w:lang w:val="en"/>
        </w:rPr>
        <w:t xml:space="preserve"> 4</w:t>
      </w:r>
    </w:p>
    <w:p w14:paraId="2515F348" w14:textId="77777777" w:rsidR="00D73172" w:rsidRPr="0092153F" w:rsidRDefault="001C4E60" w:rsidP="0092153F">
      <w:pPr>
        <w:pStyle w:val="PageNumber1"/>
        <w:rPr>
          <w:rFonts w:ascii="Times New Roman" w:hAnsi="Times New Roman"/>
          <w:i/>
          <w:szCs w:val="24"/>
          <w:lang w:val="id-ID"/>
        </w:rPr>
      </w:pPr>
      <w:r w:rsidRPr="0092153F">
        <w:rPr>
          <w:rFonts w:ascii="Times New Roman" w:hAnsi="Times New Roman"/>
          <w:i/>
          <w:szCs w:val="24"/>
          <w:lang w:val="id-ID"/>
        </w:rPr>
        <w:t xml:space="preserve"> </w:t>
      </w:r>
    </w:p>
    <w:p w14:paraId="5622C96D" w14:textId="77777777" w:rsidR="00D73172" w:rsidRPr="0092153F" w:rsidRDefault="00D73172" w:rsidP="0092153F">
      <w:pPr>
        <w:rPr>
          <w:b/>
          <w:szCs w:val="24"/>
        </w:rPr>
      </w:pPr>
    </w:p>
    <w:p w14:paraId="6AA9CDC6" w14:textId="572A034E" w:rsidR="005966F3" w:rsidRPr="006E3DA7" w:rsidRDefault="00D73172" w:rsidP="006E3DA7">
      <w:pPr>
        <w:spacing w:after="120"/>
        <w:rPr>
          <w:bCs/>
          <w:i/>
          <w:iCs/>
          <w:sz w:val="22"/>
          <w:szCs w:val="22"/>
          <w:lang w:val="id"/>
        </w:rPr>
      </w:pPr>
      <w:r w:rsidRPr="0092153F">
        <w:rPr>
          <w:b/>
          <w:szCs w:val="24"/>
          <w:lang w:val="en"/>
        </w:rPr>
        <w:t>Abstract</w:t>
      </w:r>
      <w:r w:rsidR="00486F2C" w:rsidRPr="006E3DA7">
        <w:rPr>
          <w:bCs/>
          <w:sz w:val="22"/>
          <w:szCs w:val="22"/>
          <w:lang w:val="en"/>
        </w:rPr>
        <w:t>:</w:t>
      </w:r>
      <w:r w:rsidR="00557A48" w:rsidRPr="006E3DA7">
        <w:rPr>
          <w:bCs/>
          <w:i/>
          <w:iCs/>
          <w:sz w:val="22"/>
          <w:szCs w:val="22"/>
          <w:lang w:val="en"/>
        </w:rPr>
        <w:t xml:space="preserve"> The COVID</w:t>
      </w:r>
      <w:r w:rsidR="00371132" w:rsidRPr="006E3DA7">
        <w:rPr>
          <w:bCs/>
          <w:i/>
          <w:iCs/>
          <w:sz w:val="22"/>
          <w:szCs w:val="22"/>
          <w:lang w:val="en"/>
        </w:rPr>
        <w:t xml:space="preserve"> </w:t>
      </w:r>
      <w:r w:rsidR="00557A48" w:rsidRPr="006E3DA7">
        <w:rPr>
          <w:bCs/>
          <w:i/>
          <w:iCs/>
          <w:sz w:val="22"/>
          <w:szCs w:val="22"/>
          <w:lang w:val="en"/>
        </w:rPr>
        <w:t xml:space="preserve">19 pandemic has an </w:t>
      </w:r>
      <w:r w:rsidR="00B95461" w:rsidRPr="006E3DA7">
        <w:rPr>
          <w:bCs/>
          <w:i/>
          <w:iCs/>
          <w:sz w:val="22"/>
          <w:szCs w:val="22"/>
          <w:lang w:val="en"/>
        </w:rPr>
        <w:t>effect</w:t>
      </w:r>
      <w:r w:rsidR="00557A48" w:rsidRPr="006E3DA7">
        <w:rPr>
          <w:bCs/>
          <w:i/>
          <w:iCs/>
          <w:sz w:val="22"/>
          <w:szCs w:val="22"/>
          <w:lang w:val="en"/>
        </w:rPr>
        <w:t xml:space="preserve"> on regional income and expenditure in Central Java Province. One of the efforts made by the government is to refocus the budget aimed at Emergency Spending. This study aims to exami</w:t>
      </w:r>
      <w:r w:rsidR="00DC59E9" w:rsidRPr="006E3DA7">
        <w:rPr>
          <w:bCs/>
          <w:i/>
          <w:iCs/>
          <w:sz w:val="22"/>
          <w:szCs w:val="22"/>
          <w:lang w:val="en"/>
        </w:rPr>
        <w:t>ne the Effe</w:t>
      </w:r>
      <w:r w:rsidR="00941A0F">
        <w:rPr>
          <w:bCs/>
          <w:i/>
          <w:iCs/>
          <w:sz w:val="22"/>
          <w:szCs w:val="22"/>
          <w:lang w:val="en"/>
        </w:rPr>
        <w:t>ct</w:t>
      </w:r>
      <w:r w:rsidR="00DC59E9" w:rsidRPr="006E3DA7">
        <w:rPr>
          <w:bCs/>
          <w:i/>
          <w:iCs/>
          <w:sz w:val="22"/>
          <w:szCs w:val="22"/>
          <w:lang w:val="en"/>
        </w:rPr>
        <w:t xml:space="preserve"> of </w:t>
      </w:r>
      <w:proofErr w:type="spellStart"/>
      <w:r w:rsidR="00DC59E9" w:rsidRPr="006E3DA7">
        <w:rPr>
          <w:bCs/>
          <w:i/>
          <w:iCs/>
          <w:sz w:val="22"/>
          <w:szCs w:val="22"/>
          <w:lang w:val="en"/>
        </w:rPr>
        <w:t>Locall</w:t>
      </w:r>
      <w:proofErr w:type="spellEnd"/>
      <w:r w:rsidR="00DC59E9" w:rsidRPr="006E3DA7">
        <w:rPr>
          <w:bCs/>
          <w:i/>
          <w:iCs/>
          <w:sz w:val="22"/>
          <w:szCs w:val="22"/>
          <w:lang w:val="en"/>
        </w:rPr>
        <w:t xml:space="preserve"> Revenue </w:t>
      </w:r>
      <w:r w:rsidR="00557A48" w:rsidRPr="006E3DA7">
        <w:rPr>
          <w:bCs/>
          <w:i/>
          <w:iCs/>
          <w:sz w:val="22"/>
          <w:szCs w:val="22"/>
          <w:lang w:val="en"/>
        </w:rPr>
        <w:t>(PAD) on Capital Expenditure, Infrastructure Financing, Accountabili</w:t>
      </w:r>
      <w:r w:rsidR="00DC59E9" w:rsidRPr="006E3DA7">
        <w:rPr>
          <w:bCs/>
          <w:i/>
          <w:iCs/>
          <w:sz w:val="22"/>
          <w:szCs w:val="22"/>
          <w:lang w:val="en"/>
        </w:rPr>
        <w:t>ty Performance</w:t>
      </w:r>
      <w:r w:rsidR="00ED5472" w:rsidRPr="006E3DA7">
        <w:rPr>
          <w:bCs/>
          <w:i/>
          <w:iCs/>
          <w:sz w:val="22"/>
          <w:szCs w:val="22"/>
          <w:lang w:val="en"/>
        </w:rPr>
        <w:t xml:space="preserve"> System</w:t>
      </w:r>
      <w:r w:rsidR="00DC59E9" w:rsidRPr="006E3DA7">
        <w:rPr>
          <w:bCs/>
          <w:i/>
          <w:iCs/>
          <w:sz w:val="22"/>
          <w:szCs w:val="22"/>
          <w:lang w:val="en"/>
        </w:rPr>
        <w:t xml:space="preserve"> and Budget Refocusing</w:t>
      </w:r>
      <w:r w:rsidR="00557A48" w:rsidRPr="006E3DA7">
        <w:rPr>
          <w:bCs/>
          <w:i/>
          <w:iCs/>
          <w:sz w:val="22"/>
          <w:szCs w:val="22"/>
          <w:lang w:val="en"/>
        </w:rPr>
        <w:t>.  The research method used is quantitative. The sampling technique used was saturated samples and obtained data on 35 districts and cities in Central Java. Data analysis techniques use</w:t>
      </w:r>
      <w:r w:rsidR="008F4979">
        <w:rPr>
          <w:bCs/>
          <w:i/>
          <w:iCs/>
          <w:sz w:val="22"/>
          <w:szCs w:val="22"/>
          <w:lang w:val="en"/>
        </w:rPr>
        <w:t xml:space="preserve"> simple </w:t>
      </w:r>
      <w:r w:rsidR="00557A48" w:rsidRPr="006E3DA7">
        <w:rPr>
          <w:bCs/>
          <w:i/>
          <w:iCs/>
          <w:sz w:val="22"/>
          <w:szCs w:val="22"/>
          <w:lang w:val="en"/>
        </w:rPr>
        <w:t xml:space="preserve"> regression analysis. The results of this study show that the vari</w:t>
      </w:r>
      <w:r w:rsidR="003E78FD" w:rsidRPr="006E3DA7">
        <w:rPr>
          <w:bCs/>
          <w:i/>
          <w:iCs/>
          <w:sz w:val="22"/>
          <w:szCs w:val="22"/>
          <w:lang w:val="en"/>
        </w:rPr>
        <w:t>able of Local Revenue</w:t>
      </w:r>
      <w:r w:rsidR="00557A48" w:rsidRPr="006E3DA7">
        <w:rPr>
          <w:bCs/>
          <w:i/>
          <w:iCs/>
          <w:sz w:val="22"/>
          <w:szCs w:val="22"/>
          <w:lang w:val="en"/>
        </w:rPr>
        <w:t xml:space="preserve"> has a positive </w:t>
      </w:r>
      <w:r w:rsidR="00503180" w:rsidRPr="006E3DA7">
        <w:rPr>
          <w:bCs/>
          <w:i/>
          <w:iCs/>
          <w:sz w:val="22"/>
          <w:szCs w:val="22"/>
          <w:lang w:val="en"/>
        </w:rPr>
        <w:t>impact</w:t>
      </w:r>
      <w:r w:rsidR="003E78FD" w:rsidRPr="006E3DA7">
        <w:rPr>
          <w:bCs/>
          <w:i/>
          <w:iCs/>
          <w:sz w:val="22"/>
          <w:szCs w:val="22"/>
          <w:lang w:val="en"/>
        </w:rPr>
        <w:t xml:space="preserve"> on Capital Expenditure,</w:t>
      </w:r>
      <w:r w:rsidR="00975F01" w:rsidRPr="00975F01">
        <w:rPr>
          <w:bCs/>
          <w:i/>
          <w:iCs/>
          <w:sz w:val="22"/>
          <w:szCs w:val="22"/>
          <w:lang w:val="en"/>
        </w:rPr>
        <w:t xml:space="preserve"> </w:t>
      </w:r>
      <w:r w:rsidR="00975F01" w:rsidRPr="006E3DA7">
        <w:rPr>
          <w:bCs/>
          <w:i/>
          <w:iCs/>
          <w:sz w:val="22"/>
          <w:szCs w:val="22"/>
          <w:lang w:val="en"/>
        </w:rPr>
        <w:t>Infrastructure Financing</w:t>
      </w:r>
      <w:r w:rsidR="003E78FD" w:rsidRPr="006E3DA7">
        <w:rPr>
          <w:bCs/>
          <w:i/>
          <w:iCs/>
          <w:sz w:val="22"/>
          <w:szCs w:val="22"/>
          <w:lang w:val="en"/>
        </w:rPr>
        <w:t xml:space="preserve"> and Budget Refocusing </w:t>
      </w:r>
      <w:r w:rsidR="00557A48" w:rsidRPr="006E3DA7">
        <w:rPr>
          <w:bCs/>
          <w:i/>
          <w:iCs/>
          <w:sz w:val="22"/>
          <w:szCs w:val="22"/>
          <w:lang w:val="en"/>
        </w:rPr>
        <w:t>while the vari</w:t>
      </w:r>
      <w:r w:rsidR="00ED5472" w:rsidRPr="006E3DA7">
        <w:rPr>
          <w:bCs/>
          <w:i/>
          <w:iCs/>
          <w:sz w:val="22"/>
          <w:szCs w:val="22"/>
          <w:lang w:val="en"/>
        </w:rPr>
        <w:t>able of Local Revenue</w:t>
      </w:r>
      <w:r w:rsidR="00557A48" w:rsidRPr="006E3DA7">
        <w:rPr>
          <w:bCs/>
          <w:i/>
          <w:iCs/>
          <w:sz w:val="22"/>
          <w:szCs w:val="22"/>
          <w:lang w:val="en"/>
        </w:rPr>
        <w:t xml:space="preserve"> negatively affects</w:t>
      </w:r>
      <w:r w:rsidR="00975F01" w:rsidRPr="00975F01">
        <w:rPr>
          <w:bCs/>
          <w:i/>
          <w:iCs/>
          <w:sz w:val="22"/>
          <w:szCs w:val="22"/>
          <w:lang w:val="en"/>
        </w:rPr>
        <w:t xml:space="preserve"> </w:t>
      </w:r>
      <w:r w:rsidR="00975F01" w:rsidRPr="006E3DA7">
        <w:rPr>
          <w:bCs/>
          <w:i/>
          <w:iCs/>
          <w:sz w:val="22"/>
          <w:szCs w:val="22"/>
          <w:lang w:val="en"/>
        </w:rPr>
        <w:t>Government Accountability System</w:t>
      </w:r>
      <w:r w:rsidR="00557A48" w:rsidRPr="006E3DA7">
        <w:rPr>
          <w:bCs/>
          <w:i/>
          <w:iCs/>
          <w:sz w:val="22"/>
          <w:szCs w:val="22"/>
          <w:lang w:val="en"/>
        </w:rPr>
        <w:t xml:space="preserve"> </w:t>
      </w:r>
    </w:p>
    <w:p w14:paraId="2B13AFBE" w14:textId="77777777" w:rsidR="00020CCF" w:rsidRPr="0092153F" w:rsidRDefault="00020CCF" w:rsidP="0092153F">
      <w:pPr>
        <w:autoSpaceDE w:val="0"/>
        <w:ind w:right="14"/>
        <w:jc w:val="both"/>
        <w:rPr>
          <w:b/>
          <w:i/>
          <w:szCs w:val="24"/>
          <w:lang w:val="id-ID"/>
        </w:rPr>
      </w:pPr>
    </w:p>
    <w:p w14:paraId="2D49DC93" w14:textId="78B23B20" w:rsidR="00020CCF" w:rsidRPr="0092153F" w:rsidRDefault="00020CCF" w:rsidP="0092153F">
      <w:pPr>
        <w:autoSpaceDE w:val="0"/>
        <w:ind w:left="1440" w:right="14" w:hanging="1440"/>
        <w:jc w:val="both"/>
        <w:rPr>
          <w:i/>
          <w:szCs w:val="24"/>
          <w:lang w:val="id-ID"/>
        </w:rPr>
      </w:pPr>
      <w:r w:rsidRPr="0092153F">
        <w:rPr>
          <w:b/>
          <w:i/>
          <w:szCs w:val="24"/>
          <w:lang w:val="en"/>
        </w:rPr>
        <w:t>Keywords:</w:t>
      </w:r>
      <w:r w:rsidR="00786076" w:rsidRPr="0092153F">
        <w:rPr>
          <w:b/>
          <w:i/>
          <w:szCs w:val="24"/>
          <w:lang w:val="en"/>
        </w:rPr>
        <w:tab/>
      </w:r>
      <w:r w:rsidR="00F42A2F" w:rsidRPr="0092153F">
        <w:rPr>
          <w:i/>
          <w:szCs w:val="24"/>
          <w:lang w:val="en"/>
        </w:rPr>
        <w:t xml:space="preserve"> Local </w:t>
      </w:r>
      <w:proofErr w:type="spellStart"/>
      <w:r w:rsidR="00F42A2F" w:rsidRPr="0092153F">
        <w:rPr>
          <w:i/>
          <w:szCs w:val="24"/>
          <w:lang w:val="en"/>
        </w:rPr>
        <w:t>Revenue,Capital</w:t>
      </w:r>
      <w:proofErr w:type="spellEnd"/>
      <w:r w:rsidR="00F42A2F" w:rsidRPr="0092153F">
        <w:rPr>
          <w:i/>
          <w:szCs w:val="24"/>
          <w:lang w:val="en"/>
        </w:rPr>
        <w:t xml:space="preserve"> </w:t>
      </w:r>
      <w:proofErr w:type="spellStart"/>
      <w:r w:rsidR="00F42A2F" w:rsidRPr="0092153F">
        <w:rPr>
          <w:i/>
          <w:szCs w:val="24"/>
          <w:lang w:val="en"/>
        </w:rPr>
        <w:t>Expenditure,Infrastructure</w:t>
      </w:r>
      <w:proofErr w:type="spellEnd"/>
      <w:r w:rsidR="00F42A2F" w:rsidRPr="0092153F">
        <w:rPr>
          <w:i/>
          <w:szCs w:val="24"/>
          <w:lang w:val="en"/>
        </w:rPr>
        <w:t xml:space="preserve"> </w:t>
      </w:r>
      <w:proofErr w:type="spellStart"/>
      <w:r w:rsidR="00F42A2F" w:rsidRPr="0092153F">
        <w:rPr>
          <w:i/>
          <w:szCs w:val="24"/>
          <w:lang w:val="en"/>
        </w:rPr>
        <w:t>Financing,Acc</w:t>
      </w:r>
      <w:r w:rsidR="00D20237">
        <w:rPr>
          <w:i/>
          <w:szCs w:val="24"/>
          <w:lang w:val="en"/>
        </w:rPr>
        <w:t>ountability</w:t>
      </w:r>
      <w:proofErr w:type="spellEnd"/>
      <w:r w:rsidR="00D20237">
        <w:rPr>
          <w:i/>
          <w:szCs w:val="24"/>
          <w:lang w:val="en"/>
        </w:rPr>
        <w:t xml:space="preserve"> Performance, Refocusing</w:t>
      </w:r>
    </w:p>
    <w:p w14:paraId="059FB0FF" w14:textId="77777777" w:rsidR="004B7814" w:rsidRPr="0092153F" w:rsidRDefault="004B7814" w:rsidP="0092153F">
      <w:pPr>
        <w:pBdr>
          <w:bottom w:val="single" w:sz="12" w:space="1" w:color="auto"/>
        </w:pBdr>
        <w:autoSpaceDE w:val="0"/>
        <w:spacing w:after="120"/>
        <w:ind w:left="1080" w:right="14" w:hanging="1080"/>
        <w:rPr>
          <w:i/>
          <w:szCs w:val="24"/>
          <w:lang w:val="id-ID"/>
        </w:rPr>
      </w:pPr>
    </w:p>
    <w:p w14:paraId="5A55E5F3" w14:textId="77777777" w:rsidR="00F41C66" w:rsidRPr="0092153F" w:rsidRDefault="00F41C66" w:rsidP="0092153F">
      <w:pPr>
        <w:pBdr>
          <w:bottom w:val="single" w:sz="12" w:space="1" w:color="auto"/>
        </w:pBdr>
        <w:rPr>
          <w:szCs w:val="24"/>
        </w:rPr>
        <w:sectPr w:rsidR="00F41C66" w:rsidRPr="0092153F" w:rsidSect="00786076">
          <w:headerReference w:type="default" r:id="rId12"/>
          <w:footerReference w:type="default" r:id="rId13"/>
          <w:type w:val="continuous"/>
          <w:pgSz w:w="11909" w:h="16834" w:code="9"/>
          <w:pgMar w:top="1418" w:right="1134" w:bottom="1418" w:left="1418" w:header="850" w:footer="850" w:gutter="0"/>
          <w:cols w:space="720"/>
          <w:docGrid w:linePitch="360"/>
        </w:sectPr>
      </w:pPr>
    </w:p>
    <w:p w14:paraId="2C6387C6" w14:textId="77777777" w:rsidR="00486F2C" w:rsidRPr="0092153F" w:rsidRDefault="00486F2C" w:rsidP="0092153F">
      <w:pPr>
        <w:pStyle w:val="Heading1"/>
        <w:suppressAutoHyphens/>
        <w:spacing w:after="60"/>
        <w:ind w:left="360"/>
        <w:jc w:val="both"/>
        <w:rPr>
          <w:i w:val="0"/>
          <w:sz w:val="24"/>
          <w:szCs w:val="24"/>
        </w:rPr>
      </w:pPr>
    </w:p>
    <w:p w14:paraId="015C915F" w14:textId="3C36C520" w:rsidR="00D73172" w:rsidRPr="0092153F" w:rsidRDefault="00486F2C" w:rsidP="0092153F">
      <w:pPr>
        <w:pStyle w:val="Heading1"/>
        <w:numPr>
          <w:ilvl w:val="0"/>
          <w:numId w:val="6"/>
        </w:numPr>
        <w:suppressAutoHyphens/>
        <w:spacing w:after="60"/>
        <w:ind w:left="360"/>
        <w:jc w:val="both"/>
        <w:rPr>
          <w:i w:val="0"/>
          <w:sz w:val="24"/>
          <w:szCs w:val="24"/>
        </w:rPr>
      </w:pPr>
      <w:r w:rsidRPr="0092153F">
        <w:rPr>
          <w:i w:val="0"/>
          <w:sz w:val="24"/>
          <w:szCs w:val="24"/>
          <w:lang w:val="en"/>
        </w:rPr>
        <w:t>Introduction</w:t>
      </w:r>
    </w:p>
    <w:p w14:paraId="1D38E65D" w14:textId="4FB6C100" w:rsidR="00806F29" w:rsidRPr="0092153F" w:rsidRDefault="00806F29" w:rsidP="0092153F">
      <w:pPr>
        <w:jc w:val="both"/>
        <w:rPr>
          <w:szCs w:val="24"/>
        </w:rPr>
      </w:pPr>
      <w:r w:rsidRPr="0092153F">
        <w:rPr>
          <w:szCs w:val="24"/>
          <w:lang w:val="en"/>
        </w:rPr>
        <w:t>At the end of 2019 the world was faced with the emergence of a new virus, namely COVID 19</w:t>
      </w:r>
      <w:r w:rsidR="00162F46">
        <w:rPr>
          <w:szCs w:val="24"/>
          <w:lang w:val="en"/>
        </w:rPr>
        <w:t xml:space="preserve"> (Corona Virus)</w:t>
      </w:r>
      <w:r w:rsidRPr="0092153F">
        <w:rPr>
          <w:szCs w:val="24"/>
          <w:lang w:val="en"/>
        </w:rPr>
        <w:t>. On March 11, 2020, the World Health Organization (WHO) has officially designated the COVID 19 outbreak as a Global pandemic. As a result of this pandemic, it has impacted loca</w:t>
      </w:r>
      <w:r w:rsidR="00115AC5">
        <w:rPr>
          <w:szCs w:val="24"/>
          <w:lang w:val="en"/>
        </w:rPr>
        <w:t>l revenues and regional expenditure</w:t>
      </w:r>
      <w:r w:rsidRPr="0092153F">
        <w:rPr>
          <w:szCs w:val="24"/>
          <w:lang w:val="en"/>
        </w:rPr>
        <w:t xml:space="preserve">. </w:t>
      </w:r>
      <w:r w:rsidR="00115AC5">
        <w:rPr>
          <w:szCs w:val="24"/>
          <w:lang w:val="en"/>
        </w:rPr>
        <w:t xml:space="preserve">Local revenue or </w:t>
      </w:r>
      <w:r w:rsidRPr="0092153F">
        <w:rPr>
          <w:szCs w:val="24"/>
          <w:lang w:val="en"/>
        </w:rPr>
        <w:t xml:space="preserve">PAD is all local revenues </w:t>
      </w:r>
      <w:r w:rsidR="00503180">
        <w:rPr>
          <w:szCs w:val="24"/>
          <w:lang w:val="en"/>
        </w:rPr>
        <w:t xml:space="preserve">comes </w:t>
      </w:r>
      <w:r w:rsidRPr="0092153F">
        <w:rPr>
          <w:szCs w:val="24"/>
          <w:lang w:val="en"/>
        </w:rPr>
        <w:t xml:space="preserve">from </w:t>
      </w:r>
      <w:r w:rsidR="00503180">
        <w:rPr>
          <w:szCs w:val="24"/>
          <w:lang w:val="en"/>
        </w:rPr>
        <w:t>Local Taxes</w:t>
      </w:r>
      <w:r w:rsidR="00115AC5">
        <w:rPr>
          <w:szCs w:val="24"/>
          <w:lang w:val="en"/>
        </w:rPr>
        <w:t>, Regional Levies, Segregated Local Equity</w:t>
      </w:r>
      <w:r w:rsidRPr="0092153F">
        <w:rPr>
          <w:szCs w:val="24"/>
          <w:lang w:val="en"/>
        </w:rPr>
        <w:t xml:space="preserve"> and </w:t>
      </w:r>
      <w:r w:rsidR="00503180">
        <w:rPr>
          <w:szCs w:val="24"/>
          <w:lang w:val="en"/>
        </w:rPr>
        <w:t>others</w:t>
      </w:r>
      <w:r w:rsidRPr="0092153F">
        <w:rPr>
          <w:szCs w:val="24"/>
          <w:lang w:val="en"/>
        </w:rPr>
        <w:t xml:space="preserve"> legitimate local original income.  </w:t>
      </w:r>
      <w:r w:rsidR="00D7593C">
        <w:rPr>
          <w:szCs w:val="24"/>
          <w:lang w:val="en"/>
        </w:rPr>
        <w:t xml:space="preserve">Local Revenue or </w:t>
      </w:r>
      <w:r w:rsidRPr="0092153F">
        <w:rPr>
          <w:szCs w:val="24"/>
          <w:lang w:val="en"/>
        </w:rPr>
        <w:t>Regional Original Income (PAD) in Central Java Pr</w:t>
      </w:r>
      <w:r w:rsidR="00D7593C">
        <w:rPr>
          <w:szCs w:val="24"/>
          <w:lang w:val="en"/>
        </w:rPr>
        <w:t>ovince  was decrease amount</w:t>
      </w:r>
      <w:r w:rsidRPr="0092153F">
        <w:rPr>
          <w:szCs w:val="24"/>
          <w:lang w:val="en"/>
        </w:rPr>
        <w:t xml:space="preserve"> to Rp</w:t>
      </w:r>
      <w:r w:rsidR="00D7593C">
        <w:rPr>
          <w:szCs w:val="24"/>
          <w:lang w:val="en"/>
        </w:rPr>
        <w:t>. 1.9 trillion which came from</w:t>
      </w:r>
      <w:r w:rsidRPr="0092153F">
        <w:rPr>
          <w:szCs w:val="24"/>
          <w:lang w:val="en"/>
        </w:rPr>
        <w:t xml:space="preserve"> decrease in motor vehicle tax (</w:t>
      </w:r>
      <w:proofErr w:type="spellStart"/>
      <w:r w:rsidRPr="0092153F">
        <w:rPr>
          <w:szCs w:val="24"/>
          <w:lang w:val="en"/>
        </w:rPr>
        <w:t>bappeda.jatengprov</w:t>
      </w:r>
      <w:proofErr w:type="spellEnd"/>
      <w:r w:rsidRPr="0092153F">
        <w:rPr>
          <w:szCs w:val="24"/>
          <w:lang w:val="en"/>
        </w:rPr>
        <w:t xml:space="preserve"> 2020).  In order to overcome th</w:t>
      </w:r>
      <w:r w:rsidR="000C707D">
        <w:rPr>
          <w:szCs w:val="24"/>
          <w:lang w:val="en"/>
        </w:rPr>
        <w:t>is, the government is faced</w:t>
      </w:r>
      <w:r w:rsidRPr="0092153F">
        <w:rPr>
          <w:szCs w:val="24"/>
          <w:lang w:val="en"/>
        </w:rPr>
        <w:t xml:space="preserve"> the chal</w:t>
      </w:r>
      <w:r w:rsidR="000C707D">
        <w:rPr>
          <w:szCs w:val="24"/>
          <w:lang w:val="en"/>
        </w:rPr>
        <w:t>lenge of continuing to strive for</w:t>
      </w:r>
      <w:r w:rsidRPr="0092153F">
        <w:rPr>
          <w:szCs w:val="24"/>
          <w:lang w:val="en"/>
        </w:rPr>
        <w:t xml:space="preserve"> maintain</w:t>
      </w:r>
      <w:r w:rsidR="000C707D">
        <w:rPr>
          <w:szCs w:val="24"/>
          <w:lang w:val="en"/>
        </w:rPr>
        <w:t>ing</w:t>
      </w:r>
      <w:r w:rsidRPr="0092153F">
        <w:rPr>
          <w:szCs w:val="24"/>
          <w:lang w:val="en"/>
        </w:rPr>
        <w:t xml:space="preserve"> the stability of regional spending</w:t>
      </w:r>
      <w:r w:rsidRPr="0092153F">
        <w:rPr>
          <w:rStyle w:val="ts-alignment-element"/>
          <w:szCs w:val="24"/>
          <w:lang w:val="en"/>
        </w:rPr>
        <w:t xml:space="preserve"> so as not to hinder services to the community. There are 11 </w:t>
      </w:r>
      <w:r w:rsidR="00783972">
        <w:rPr>
          <w:rStyle w:val="ts-alignment-element"/>
          <w:szCs w:val="24"/>
          <w:lang w:val="en"/>
        </w:rPr>
        <w:t>regions</w:t>
      </w:r>
      <w:r w:rsidRPr="0092153F">
        <w:rPr>
          <w:rStyle w:val="ts-alignment-element"/>
          <w:szCs w:val="24"/>
          <w:lang w:val="en"/>
        </w:rPr>
        <w:t xml:space="preserve"> and cities </w:t>
      </w:r>
      <w:r w:rsidR="000C707D">
        <w:rPr>
          <w:rStyle w:val="ts-alignment-element"/>
          <w:szCs w:val="24"/>
          <w:lang w:val="en"/>
        </w:rPr>
        <w:t>in Central Java that experienced a decline local revenue during</w:t>
      </w:r>
      <w:r w:rsidRPr="0092153F">
        <w:rPr>
          <w:rStyle w:val="ts-alignment-element"/>
          <w:szCs w:val="24"/>
          <w:lang w:val="en"/>
        </w:rPr>
        <w:t xml:space="preserve"> 2019-2020. On average, </w:t>
      </w:r>
      <w:r w:rsidRPr="0092153F">
        <w:rPr>
          <w:szCs w:val="24"/>
          <w:lang w:val="en"/>
        </w:rPr>
        <w:t>the regional budget in districts and cities in Central Java Province has also decreased. The revenue budget was 11.01%. The components that experienced a decrease were the Regional</w:t>
      </w:r>
      <w:r w:rsidR="002910FB">
        <w:rPr>
          <w:szCs w:val="24"/>
          <w:lang w:val="en"/>
        </w:rPr>
        <w:t>/Local</w:t>
      </w:r>
      <w:r w:rsidRPr="0092153F">
        <w:rPr>
          <w:szCs w:val="24"/>
          <w:lang w:val="en"/>
        </w:rPr>
        <w:t xml:space="preserve"> Levy down by</w:t>
      </w:r>
      <w:r w:rsidR="002910FB">
        <w:rPr>
          <w:szCs w:val="24"/>
          <w:lang w:val="en"/>
        </w:rPr>
        <w:t xml:space="preserve"> 25.93% and other legitimate local revenue</w:t>
      </w:r>
      <w:r w:rsidRPr="0092153F">
        <w:rPr>
          <w:szCs w:val="24"/>
          <w:lang w:val="en"/>
        </w:rPr>
        <w:t xml:space="preserve"> down by 15.83%. (Central Java Province Economic Report Page 36). In addition, the pandemic also had an impact on the realization of capital expenditure which decreased from 92.02% to 89.92%.  This is due </w:t>
      </w:r>
      <w:r>
        <w:rPr>
          <w:lang w:val="en"/>
        </w:rPr>
        <w:t xml:space="preserve"> to </w:t>
      </w:r>
      <w:r w:rsidRPr="0092153F">
        <w:rPr>
          <w:i/>
          <w:szCs w:val="24"/>
          <w:lang w:val="en"/>
        </w:rPr>
        <w:t>refocusing</w:t>
      </w:r>
      <w:r>
        <w:rPr>
          <w:lang w:val="en"/>
        </w:rPr>
        <w:t xml:space="preserve"> the </w:t>
      </w:r>
      <w:r w:rsidRPr="0092153F">
        <w:rPr>
          <w:szCs w:val="24"/>
          <w:lang w:val="en"/>
        </w:rPr>
        <w:t xml:space="preserve"> budget to finance the impact of covid, so that infrastructure financing activities have decreased (Economic Report of Central Java Province February 2021 p. 39). The amount of provincial and local government spending in 2019 averaged less than 0.1% of total expenditure, but for 2020 this figure has decreased, due to an increase in emergency spending </w:t>
      </w:r>
      <w:r w:rsidRPr="0092153F">
        <w:rPr>
          <w:szCs w:val="24"/>
          <w:lang w:val="en"/>
        </w:rPr>
        <w:lastRenderedPageBreak/>
        <w:t xml:space="preserve">of 3.32% of total provincial and regional expenditure. (Annual Report of the Directorate General of Budget 2020).  Data from the Directorate General of Budget (DJA) shows that the increase in emergency spending for handling COVID has increased to Rp. 122,250,716,000 and absorbed by Rp. 118,364,523,299, which is used for personal expenses, goods expenditures and capital expenditures. </w:t>
      </w:r>
    </w:p>
    <w:p w14:paraId="2AEA4BB6" w14:textId="32CA5937" w:rsidR="00806F29" w:rsidRPr="0092153F" w:rsidRDefault="00806F29" w:rsidP="0092153F">
      <w:pPr>
        <w:jc w:val="both"/>
        <w:rPr>
          <w:szCs w:val="24"/>
          <w:lang w:val="en-ID"/>
        </w:rPr>
      </w:pPr>
      <w:r w:rsidRPr="0092153F">
        <w:rPr>
          <w:szCs w:val="24"/>
          <w:lang w:val="en"/>
        </w:rPr>
        <w:t xml:space="preserve">The transfer of infrastructure expenditures such as physical development (construction activities) for emergency spending is in line with the Minister of Finance Regulation number 43 / PMK.05 / 2020 concerning the mechanism of expenditure charged to the State Budget to deal with the COVID-19 pandemic (Director General of Budget p. 36).  Finance Minister Sri </w:t>
      </w:r>
      <w:proofErr w:type="spellStart"/>
      <w:r w:rsidRPr="0092153F">
        <w:rPr>
          <w:szCs w:val="24"/>
          <w:lang w:val="en"/>
        </w:rPr>
        <w:t>Mulyani</w:t>
      </w:r>
      <w:proofErr w:type="spellEnd"/>
      <w:r w:rsidRPr="0092153F">
        <w:rPr>
          <w:szCs w:val="24"/>
          <w:lang w:val="en"/>
        </w:rPr>
        <w:t xml:space="preserve"> also stated that the Government will </w:t>
      </w:r>
      <w:proofErr w:type="spellStart"/>
      <w:r w:rsidRPr="0092153F">
        <w:rPr>
          <w:i/>
          <w:iCs/>
          <w:szCs w:val="24"/>
          <w:lang w:val="en"/>
        </w:rPr>
        <w:t>recofusing</w:t>
      </w:r>
      <w:proofErr w:type="spellEnd"/>
      <w:r>
        <w:rPr>
          <w:lang w:val="en"/>
        </w:rPr>
        <w:t xml:space="preserve"> the </w:t>
      </w:r>
      <w:r w:rsidRPr="0092153F">
        <w:rPr>
          <w:szCs w:val="24"/>
          <w:lang w:val="en"/>
        </w:rPr>
        <w:t xml:space="preserve"> budget in 2021 for handling COVID 19 which is used for vaccination, tracing, testing the cost of health workers and patient care of Rp. 26.2 trillion for handling the COVID 19 pandemic. (Publication Kemenkeu.go.id). </w:t>
      </w:r>
      <w:r w:rsidRPr="0092153F">
        <w:rPr>
          <w:i/>
          <w:iCs/>
          <w:szCs w:val="24"/>
          <w:lang w:val="en"/>
        </w:rPr>
        <w:t>The refocusing</w:t>
      </w:r>
      <w:r w:rsidRPr="0092153F">
        <w:rPr>
          <w:szCs w:val="24"/>
          <w:lang w:val="en"/>
        </w:rPr>
        <w:t xml:space="preserve"> of the budget has an impact on the capital e</w:t>
      </w:r>
      <w:r w:rsidR="0069505E">
        <w:rPr>
          <w:szCs w:val="24"/>
          <w:lang w:val="en"/>
        </w:rPr>
        <w:t>xpenditure used to encourage local revenue</w:t>
      </w:r>
      <w:r w:rsidRPr="0092153F">
        <w:rPr>
          <w:szCs w:val="24"/>
          <w:lang w:val="en"/>
        </w:rPr>
        <w:t>, so that some regions experience</w:t>
      </w:r>
      <w:r w:rsidR="009F7574">
        <w:rPr>
          <w:szCs w:val="24"/>
          <w:lang w:val="en"/>
        </w:rPr>
        <w:t>d</w:t>
      </w:r>
      <w:r w:rsidRPr="0092153F">
        <w:rPr>
          <w:szCs w:val="24"/>
          <w:lang w:val="en"/>
        </w:rPr>
        <w:t xml:space="preserve"> a decrease in the performance of local governments.  One of them is a decrease in the level of regional independence based on Look Out 2020 data, which is characterized by the increasing number of transfer funds from the center</w:t>
      </w:r>
      <w:r w:rsidR="00493624">
        <w:rPr>
          <w:szCs w:val="24"/>
          <w:lang w:val="en"/>
        </w:rPr>
        <w:t xml:space="preserve"> government</w:t>
      </w:r>
      <w:r w:rsidRPr="0092153F">
        <w:rPr>
          <w:szCs w:val="24"/>
          <w:lang w:val="en"/>
        </w:rPr>
        <w:t xml:space="preserve"> both in the form of Grants and Special Allocation Funds as bailouts for handling the pandemic.</w:t>
      </w:r>
    </w:p>
    <w:p w14:paraId="440CAE1D" w14:textId="0EADA894" w:rsidR="00DD1584" w:rsidRPr="0092153F" w:rsidRDefault="00806F29" w:rsidP="0092153F">
      <w:pPr>
        <w:jc w:val="both"/>
        <w:rPr>
          <w:szCs w:val="24"/>
          <w:lang w:val="en-ID"/>
        </w:rPr>
      </w:pPr>
      <w:r w:rsidRPr="0092153F">
        <w:rPr>
          <w:szCs w:val="24"/>
          <w:lang w:val="en"/>
        </w:rPr>
        <w:t xml:space="preserve">There is a change in this budgeting pattern, based on research from </w:t>
      </w:r>
      <w:proofErr w:type="spellStart"/>
      <w:r w:rsidRPr="0092153F">
        <w:rPr>
          <w:szCs w:val="24"/>
          <w:lang w:val="en"/>
        </w:rPr>
        <w:t>Ozili</w:t>
      </w:r>
      <w:proofErr w:type="spellEnd"/>
      <w:r w:rsidRPr="0092153F">
        <w:rPr>
          <w:szCs w:val="24"/>
          <w:lang w:val="en"/>
        </w:rPr>
        <w:t xml:space="preserve"> (2020), Andrew et.al. (2020), </w:t>
      </w:r>
      <w:proofErr w:type="spellStart"/>
      <w:r w:rsidRPr="0092153F">
        <w:rPr>
          <w:szCs w:val="24"/>
          <w:lang w:val="en"/>
        </w:rPr>
        <w:t>Curristine</w:t>
      </w:r>
      <w:proofErr w:type="spellEnd"/>
      <w:r w:rsidRPr="0092153F">
        <w:rPr>
          <w:szCs w:val="24"/>
          <w:lang w:val="en"/>
        </w:rPr>
        <w:t xml:space="preserve"> et.al..,(2020), De Villiers et.al.,(2020), Ahrens &amp;Ferry (2020) and </w:t>
      </w:r>
      <w:proofErr w:type="spellStart"/>
      <w:r w:rsidRPr="0092153F">
        <w:rPr>
          <w:szCs w:val="24"/>
          <w:lang w:val="en"/>
        </w:rPr>
        <w:t>Borroy</w:t>
      </w:r>
      <w:proofErr w:type="spellEnd"/>
      <w:r w:rsidRPr="0092153F">
        <w:rPr>
          <w:szCs w:val="24"/>
          <w:lang w:val="en"/>
        </w:rPr>
        <w:t xml:space="preserve"> (2020) who concluded that budget behavior during this pandemic is a form of economic response to situations that occur suddenly, and is a form of adjustment to budget pressure conditions. This information was obtained from the results of research during the pandemic in Australia, several European countries and in Africa.  In a </w:t>
      </w:r>
      <w:r w:rsidRPr="0092153F">
        <w:rPr>
          <w:i/>
          <w:szCs w:val="24"/>
          <w:lang w:val="en"/>
        </w:rPr>
        <w:t>ceteris paribus</w:t>
      </w:r>
      <w:r>
        <w:rPr>
          <w:lang w:val="en"/>
        </w:rPr>
        <w:t xml:space="preserve"> economic condition,</w:t>
      </w:r>
      <w:r w:rsidR="00EA789F">
        <w:rPr>
          <w:lang w:val="en"/>
        </w:rPr>
        <w:t xml:space="preserve"> the increase in local revenue</w:t>
      </w:r>
      <w:r>
        <w:rPr>
          <w:lang w:val="en"/>
        </w:rPr>
        <w:t xml:space="preserve">  will be followed by an increase in </w:t>
      </w:r>
      <w:r w:rsidR="008563A3">
        <w:rPr>
          <w:szCs w:val="24"/>
          <w:lang w:val="en"/>
        </w:rPr>
        <w:t>other budget item</w:t>
      </w:r>
      <w:r w:rsidRPr="0092153F">
        <w:rPr>
          <w:szCs w:val="24"/>
          <w:lang w:val="en"/>
        </w:rPr>
        <w:t xml:space="preserve">, such as an increase in capital expenditure and infrastructure expenditure, which in turn will be able to improve the accountability performance of local governments (Andrew </w:t>
      </w:r>
      <w:r w:rsidR="00FE3AD6" w:rsidRPr="0092153F">
        <w:rPr>
          <w:i/>
          <w:szCs w:val="24"/>
          <w:lang w:val="en"/>
        </w:rPr>
        <w:t>et.al</w:t>
      </w:r>
      <w:r w:rsidR="00FE3AD6" w:rsidRPr="0092153F">
        <w:rPr>
          <w:szCs w:val="24"/>
          <w:lang w:val="en"/>
        </w:rPr>
        <w:t xml:space="preserve">  ,2020).  This is due to the i</w:t>
      </w:r>
      <w:r w:rsidR="008563A3">
        <w:rPr>
          <w:szCs w:val="24"/>
          <w:lang w:val="en"/>
        </w:rPr>
        <w:t>ncreasing local revenue</w:t>
      </w:r>
      <w:r w:rsidR="00FE3AD6" w:rsidRPr="0092153F">
        <w:rPr>
          <w:szCs w:val="24"/>
          <w:lang w:val="en"/>
        </w:rPr>
        <w:t xml:space="preserve"> will provide flexibility for the region to set aside revenue sides outside of routine operational financing to be allocated into productive matters (</w:t>
      </w:r>
      <w:proofErr w:type="spellStart"/>
      <w:r w:rsidR="00FE3AD6" w:rsidRPr="0092153F">
        <w:rPr>
          <w:szCs w:val="24"/>
          <w:lang w:val="en"/>
        </w:rPr>
        <w:t>Nkundabanyanga</w:t>
      </w:r>
      <w:proofErr w:type="spellEnd"/>
      <w:r w:rsidR="00FE3AD6" w:rsidRPr="0092153F">
        <w:rPr>
          <w:szCs w:val="24"/>
          <w:lang w:val="en"/>
        </w:rPr>
        <w:t>, et.al.</w:t>
      </w:r>
      <w:r>
        <w:rPr>
          <w:lang w:val="en"/>
        </w:rPr>
        <w:t xml:space="preserve"> </w:t>
      </w:r>
      <w:r w:rsidRPr="0092153F">
        <w:rPr>
          <w:szCs w:val="24"/>
          <w:lang w:val="en"/>
        </w:rPr>
        <w:t xml:space="preserve"> ,2021).</w:t>
      </w:r>
    </w:p>
    <w:p w14:paraId="54D376B6" w14:textId="336941B3" w:rsidR="00DD1584" w:rsidRPr="0092153F" w:rsidRDefault="00806F29" w:rsidP="0092153F">
      <w:pPr>
        <w:jc w:val="both"/>
        <w:rPr>
          <w:noProof/>
          <w:szCs w:val="24"/>
        </w:rPr>
      </w:pPr>
      <w:r w:rsidRPr="0092153F">
        <w:rPr>
          <w:szCs w:val="24"/>
          <w:lang w:val="en"/>
        </w:rPr>
        <w:t>The phenomenon of unique budgeting patterns during the pandemic, until now, there is still little empirical support that can explain the causality factor.  The average of previous existing research , using the framework of each</w:t>
      </w:r>
      <w:r w:rsidR="008563A3">
        <w:rPr>
          <w:szCs w:val="24"/>
          <w:lang w:val="en"/>
        </w:rPr>
        <w:t xml:space="preserve"> increase in Local Revenue</w:t>
      </w:r>
      <w:r w:rsidRPr="0092153F">
        <w:rPr>
          <w:szCs w:val="24"/>
          <w:lang w:val="en"/>
        </w:rPr>
        <w:t xml:space="preserve"> will flow additional to capital and infrastructure expenditures, because the unexpected expenditures that drive the increase in budget diversions are relatively stagnant (</w:t>
      </w:r>
      <w:r w:rsidR="00F4376F" w:rsidRPr="0092153F">
        <w:rPr>
          <w:noProof/>
          <w:szCs w:val="24"/>
          <w:lang w:val="en"/>
        </w:rPr>
        <w:t xml:space="preserve">Auerbach, A. J., &amp; Gale, W,2020).  </w:t>
      </w:r>
    </w:p>
    <w:p w14:paraId="3134DDAF" w14:textId="79EDBD2B" w:rsidR="00A63178" w:rsidRPr="007175C5" w:rsidRDefault="00B43F77" w:rsidP="0092153F">
      <w:pPr>
        <w:jc w:val="both"/>
        <w:rPr>
          <w:szCs w:val="24"/>
          <w:lang w:val="en-ID"/>
        </w:rPr>
      </w:pPr>
      <w:bookmarkStart w:id="0" w:name="_Hlk100521286"/>
      <w:bookmarkStart w:id="1" w:name="_Hlk100514955"/>
      <w:r w:rsidRPr="0092153F">
        <w:rPr>
          <w:noProof/>
          <w:szCs w:val="24"/>
          <w:lang w:val="en"/>
        </w:rPr>
        <w:t>This is shown in a study</w:t>
      </w:r>
      <w:r w:rsidR="00A63178" w:rsidRPr="0092153F">
        <w:rPr>
          <w:rStyle w:val="ts-alignment-element"/>
          <w:szCs w:val="24"/>
          <w:lang w:val="en"/>
        </w:rPr>
        <w:t xml:space="preserve"> conducted by </w:t>
      </w:r>
      <w:proofErr w:type="spellStart"/>
      <w:r w:rsidR="00A63178" w:rsidRPr="0092153F">
        <w:rPr>
          <w:rStyle w:val="ts-alignment-element"/>
          <w:szCs w:val="24"/>
          <w:lang w:val="en"/>
        </w:rPr>
        <w:t>J</w:t>
      </w:r>
      <w:r w:rsidR="008563A3">
        <w:rPr>
          <w:rStyle w:val="ts-alignment-element"/>
          <w:szCs w:val="24"/>
          <w:lang w:val="en"/>
        </w:rPr>
        <w:t>uniawan</w:t>
      </w:r>
      <w:proofErr w:type="spellEnd"/>
      <w:r w:rsidR="008563A3">
        <w:rPr>
          <w:rStyle w:val="ts-alignment-element"/>
          <w:szCs w:val="24"/>
          <w:lang w:val="en"/>
        </w:rPr>
        <w:t xml:space="preserve"> in 2018 stating that local revenue</w:t>
      </w:r>
      <w:r w:rsidR="00A63178" w:rsidRPr="0092153F">
        <w:rPr>
          <w:rStyle w:val="ts-alignment-element"/>
          <w:szCs w:val="24"/>
          <w:lang w:val="en"/>
        </w:rPr>
        <w:t xml:space="preserve"> has a positive </w:t>
      </w:r>
      <w:proofErr w:type="spellStart"/>
      <w:r w:rsidR="00162F46">
        <w:rPr>
          <w:rStyle w:val="ts-alignment-element"/>
          <w:szCs w:val="24"/>
          <w:lang w:val="en"/>
        </w:rPr>
        <w:t>affect</w:t>
      </w:r>
      <w:proofErr w:type="spellEnd"/>
      <w:r w:rsidR="00A63178" w:rsidRPr="0092153F">
        <w:rPr>
          <w:rStyle w:val="ts-alignment-element"/>
          <w:szCs w:val="24"/>
          <w:lang w:val="en"/>
        </w:rPr>
        <w:t xml:space="preserve"> on capital expenditure. This is in line with research conducted by </w:t>
      </w:r>
      <w:proofErr w:type="spellStart"/>
      <w:r w:rsidR="00A63178" w:rsidRPr="0092153F">
        <w:rPr>
          <w:rStyle w:val="ts-alignment-element"/>
          <w:szCs w:val="24"/>
          <w:lang w:val="en"/>
        </w:rPr>
        <w:t>Jouzar</w:t>
      </w:r>
      <w:proofErr w:type="spellEnd"/>
      <w:r w:rsidR="00A63178" w:rsidRPr="0092153F">
        <w:rPr>
          <w:rStyle w:val="ts-alignment-element"/>
          <w:szCs w:val="24"/>
          <w:lang w:val="en"/>
        </w:rPr>
        <w:t xml:space="preserve"> Farouq Ishak in his journal </w:t>
      </w:r>
      <w:r>
        <w:rPr>
          <w:lang w:val="en"/>
        </w:rPr>
        <w:t xml:space="preserve">  "</w:t>
      </w:r>
      <w:bookmarkEnd w:id="0"/>
      <w:r w:rsidR="00A63178" w:rsidRPr="0092153F">
        <w:rPr>
          <w:rStyle w:val="ts-alignment-element"/>
          <w:i/>
          <w:iCs/>
          <w:szCs w:val="24"/>
          <w:lang w:val="en"/>
        </w:rPr>
        <w:t>Local revenue toward capital expenditure</w:t>
      </w:r>
      <w:r w:rsidR="001E0732">
        <w:rPr>
          <w:rStyle w:val="ts-alignment-element"/>
          <w:szCs w:val="24"/>
          <w:lang w:val="en"/>
        </w:rPr>
        <w:t xml:space="preserve"> 2022".  As for the local revenue</w:t>
      </w:r>
      <w:r w:rsidR="00A63178" w:rsidRPr="0092153F">
        <w:rPr>
          <w:rStyle w:val="ts-alignment-element"/>
          <w:szCs w:val="24"/>
          <w:lang w:val="en"/>
        </w:rPr>
        <w:t xml:space="preserve"> variable on infrastructure financing, it has also been studied by Wong in 2004 and stated that industrial infrastructure development has a very real impact on local tax increases, this is also in line with the 2018 Main research which stated that </w:t>
      </w:r>
      <w:r w:rsidR="001E0732">
        <w:rPr>
          <w:rStyle w:val="ts-alignment-element"/>
          <w:szCs w:val="24"/>
          <w:lang w:val="en"/>
        </w:rPr>
        <w:t>local revenue</w:t>
      </w:r>
      <w:r w:rsidR="00162F46">
        <w:rPr>
          <w:rStyle w:val="ts-alignment-element"/>
          <w:szCs w:val="24"/>
          <w:lang w:val="en"/>
        </w:rPr>
        <w:t xml:space="preserve"> </w:t>
      </w:r>
      <w:r w:rsidR="00A63178" w:rsidRPr="0092153F">
        <w:rPr>
          <w:rStyle w:val="ts-alignment-element"/>
          <w:szCs w:val="24"/>
          <w:lang w:val="en"/>
        </w:rPr>
        <w:t>has a positive influence on short-term infrastructure</w:t>
      </w:r>
      <w:r w:rsidR="001E0732">
        <w:rPr>
          <w:rStyle w:val="ts-alignment-element"/>
          <w:szCs w:val="24"/>
          <w:lang w:val="en"/>
        </w:rPr>
        <w:t xml:space="preserve"> financing, this proves that local revenue</w:t>
      </w:r>
      <w:r w:rsidR="00A63178" w:rsidRPr="0092153F">
        <w:rPr>
          <w:rStyle w:val="ts-alignment-element"/>
          <w:szCs w:val="24"/>
          <w:lang w:val="en"/>
        </w:rPr>
        <w:t xml:space="preserve"> has a positive effect on Infrastructure Financing. Several previ</w:t>
      </w:r>
      <w:r w:rsidR="001E0732">
        <w:rPr>
          <w:rStyle w:val="ts-alignment-element"/>
          <w:szCs w:val="24"/>
          <w:lang w:val="en"/>
        </w:rPr>
        <w:t>ous studies on the effect of local revenue</w:t>
      </w:r>
      <w:r w:rsidR="00A63178" w:rsidRPr="0092153F">
        <w:rPr>
          <w:rStyle w:val="ts-alignment-element"/>
          <w:szCs w:val="24"/>
          <w:lang w:val="en"/>
        </w:rPr>
        <w:t xml:space="preserve"> on Accountability Performance</w:t>
      </w:r>
      <w:r w:rsidR="001E0732">
        <w:rPr>
          <w:rStyle w:val="ts-alignment-element"/>
          <w:szCs w:val="24"/>
          <w:lang w:val="en"/>
        </w:rPr>
        <w:t xml:space="preserve"> System</w:t>
      </w:r>
      <w:r w:rsidR="00A63178" w:rsidRPr="0092153F">
        <w:rPr>
          <w:rStyle w:val="ts-alignment-element"/>
          <w:szCs w:val="24"/>
          <w:lang w:val="en"/>
        </w:rPr>
        <w:t xml:space="preserve"> </w:t>
      </w:r>
      <w:bookmarkStart w:id="2" w:name="_Hlk118121060"/>
      <w:bookmarkEnd w:id="1"/>
      <w:r w:rsidR="0066064D" w:rsidRPr="0092153F">
        <w:rPr>
          <w:szCs w:val="24"/>
          <w:lang w:val="en"/>
        </w:rPr>
        <w:t xml:space="preserve">have also been conducted by Sari &amp; </w:t>
      </w:r>
      <w:proofErr w:type="spellStart"/>
      <w:r w:rsidR="0066064D" w:rsidRPr="0092153F">
        <w:rPr>
          <w:szCs w:val="24"/>
          <w:lang w:val="en"/>
        </w:rPr>
        <w:t>Wati</w:t>
      </w:r>
      <w:proofErr w:type="spellEnd"/>
      <w:r w:rsidR="0066064D" w:rsidRPr="0092153F">
        <w:rPr>
          <w:szCs w:val="24"/>
          <w:lang w:val="en"/>
        </w:rPr>
        <w:t xml:space="preserve"> in 2021 and reve</w:t>
      </w:r>
      <w:r w:rsidR="001E0732">
        <w:rPr>
          <w:szCs w:val="24"/>
          <w:lang w:val="en"/>
        </w:rPr>
        <w:t>aled that Local Revenue</w:t>
      </w:r>
      <w:r w:rsidR="0066064D" w:rsidRPr="0092153F">
        <w:rPr>
          <w:szCs w:val="24"/>
          <w:lang w:val="en"/>
        </w:rPr>
        <w:t xml:space="preserve"> has a positive influence on accountability performance</w:t>
      </w:r>
      <w:r w:rsidR="001E0732">
        <w:rPr>
          <w:szCs w:val="24"/>
          <w:lang w:val="en"/>
        </w:rPr>
        <w:t xml:space="preserve"> system</w:t>
      </w:r>
      <w:r w:rsidR="0066064D" w:rsidRPr="0092153F">
        <w:rPr>
          <w:szCs w:val="24"/>
          <w:lang w:val="en"/>
        </w:rPr>
        <w:t>. The research conducted (</w:t>
      </w:r>
      <w:proofErr w:type="spellStart"/>
      <w:r w:rsidR="0066064D" w:rsidRPr="0092153F">
        <w:rPr>
          <w:szCs w:val="24"/>
          <w:lang w:val="en"/>
        </w:rPr>
        <w:t>Maulina</w:t>
      </w:r>
      <w:proofErr w:type="spellEnd"/>
      <w:r w:rsidR="0066064D" w:rsidRPr="0092153F">
        <w:rPr>
          <w:szCs w:val="24"/>
          <w:lang w:val="en"/>
        </w:rPr>
        <w:t xml:space="preserve"> et</w:t>
      </w:r>
      <w:r w:rsidR="001E0732">
        <w:rPr>
          <w:szCs w:val="24"/>
          <w:lang w:val="en"/>
        </w:rPr>
        <w:t xml:space="preserve"> al., 2021) also stated that local revenue has a positive effect</w:t>
      </w:r>
      <w:r w:rsidR="0066064D" w:rsidRPr="0092153F">
        <w:rPr>
          <w:szCs w:val="24"/>
          <w:lang w:val="en"/>
        </w:rPr>
        <w:t xml:space="preserve"> on accountability performance. While </w:t>
      </w:r>
      <w:r>
        <w:rPr>
          <w:lang w:val="en"/>
        </w:rPr>
        <w:t xml:space="preserve"> </w:t>
      </w:r>
      <w:r w:rsidR="001E0732">
        <w:rPr>
          <w:lang w:val="en"/>
        </w:rPr>
        <w:t xml:space="preserve">research on local revenue variables on Budget  Refocusing has been carried out </w:t>
      </w:r>
      <w:r w:rsidR="00454F45">
        <w:rPr>
          <w:lang w:val="en"/>
        </w:rPr>
        <w:t xml:space="preserve">by </w:t>
      </w:r>
      <w:proofErr w:type="spellStart"/>
      <w:r w:rsidR="00454F45">
        <w:rPr>
          <w:lang w:val="en"/>
        </w:rPr>
        <w:t>Khatulistiwa</w:t>
      </w:r>
      <w:proofErr w:type="spellEnd"/>
      <w:r w:rsidR="00454F45">
        <w:rPr>
          <w:lang w:val="en"/>
        </w:rPr>
        <w:t xml:space="preserve"> </w:t>
      </w:r>
      <w:r w:rsidR="001E0732">
        <w:rPr>
          <w:szCs w:val="24"/>
          <w:lang w:val="en"/>
        </w:rPr>
        <w:lastRenderedPageBreak/>
        <w:t>2021 and reveals that Local Revenue</w:t>
      </w:r>
      <w:r w:rsidR="0066064D" w:rsidRPr="0092153F">
        <w:rPr>
          <w:szCs w:val="24"/>
          <w:lang w:val="en"/>
        </w:rPr>
        <w:t xml:space="preserve"> has a positi</w:t>
      </w:r>
      <w:r w:rsidR="001E0732">
        <w:rPr>
          <w:szCs w:val="24"/>
          <w:lang w:val="en"/>
        </w:rPr>
        <w:t>v</w:t>
      </w:r>
      <w:r w:rsidR="002B6348">
        <w:rPr>
          <w:szCs w:val="24"/>
          <w:lang w:val="en"/>
        </w:rPr>
        <w:t>e</w:t>
      </w:r>
      <w:r w:rsidR="0066064D" w:rsidRPr="0092153F">
        <w:rPr>
          <w:szCs w:val="24"/>
          <w:lang w:val="en"/>
        </w:rPr>
        <w:t xml:space="preserve"> </w:t>
      </w:r>
      <w:r w:rsidR="00125B85">
        <w:rPr>
          <w:szCs w:val="24"/>
          <w:lang w:val="en"/>
        </w:rPr>
        <w:t>impact</w:t>
      </w:r>
      <w:r w:rsidR="001E0732">
        <w:rPr>
          <w:szCs w:val="24"/>
          <w:lang w:val="en"/>
        </w:rPr>
        <w:t xml:space="preserve"> on Budget Refocusing</w:t>
      </w:r>
      <w:r w:rsidR="0066064D" w:rsidRPr="0092153F">
        <w:rPr>
          <w:szCs w:val="24"/>
          <w:lang w:val="en"/>
        </w:rPr>
        <w:t xml:space="preserve">, this is in line with the research of </w:t>
      </w:r>
      <w:proofErr w:type="spellStart"/>
      <w:r w:rsidR="0066064D" w:rsidRPr="0092153F">
        <w:rPr>
          <w:szCs w:val="24"/>
          <w:lang w:val="en"/>
        </w:rPr>
        <w:t>Bahri</w:t>
      </w:r>
      <w:proofErr w:type="spellEnd"/>
      <w:r w:rsidR="0066064D" w:rsidRPr="0092153F">
        <w:rPr>
          <w:szCs w:val="24"/>
          <w:lang w:val="en"/>
        </w:rPr>
        <w:t xml:space="preserve">, et al in 2020 </w:t>
      </w:r>
      <w:r w:rsidR="001E0732">
        <w:rPr>
          <w:szCs w:val="24"/>
          <w:lang w:val="en"/>
        </w:rPr>
        <w:t>which stated that budget refocusing</w:t>
      </w:r>
      <w:r w:rsidR="0066064D" w:rsidRPr="0092153F">
        <w:rPr>
          <w:szCs w:val="24"/>
          <w:lang w:val="en"/>
        </w:rPr>
        <w:t xml:space="preserve"> due to Covid-19</w:t>
      </w:r>
      <w:r w:rsidR="001E0732">
        <w:rPr>
          <w:szCs w:val="24"/>
          <w:lang w:val="en"/>
        </w:rPr>
        <w:t xml:space="preserve"> have an impact on local revenue</w:t>
      </w:r>
      <w:r w:rsidR="0066064D" w:rsidRPr="0092153F">
        <w:rPr>
          <w:szCs w:val="24"/>
          <w:lang w:val="en"/>
        </w:rPr>
        <w:t>, especially regional budget realization. The annual report of the Directorate General of Budget 2020 a</w:t>
      </w:r>
      <w:r w:rsidR="001E0732">
        <w:rPr>
          <w:szCs w:val="24"/>
          <w:lang w:val="en"/>
        </w:rPr>
        <w:t>lso explains that budget refocusing was</w:t>
      </w:r>
      <w:r w:rsidR="0066064D" w:rsidRPr="0092153F">
        <w:rPr>
          <w:szCs w:val="24"/>
          <w:lang w:val="en"/>
        </w:rPr>
        <w:t xml:space="preserve"> affect</w:t>
      </w:r>
      <w:r w:rsidR="001E0732">
        <w:rPr>
          <w:szCs w:val="24"/>
          <w:lang w:val="en"/>
        </w:rPr>
        <w:t>ed</w:t>
      </w:r>
      <w:r w:rsidR="0066064D" w:rsidRPr="0092153F">
        <w:rPr>
          <w:szCs w:val="24"/>
          <w:lang w:val="en"/>
        </w:rPr>
        <w:t xml:space="preserve"> regional revenues, including the realization of capital expenditures. </w:t>
      </w:r>
      <w:bookmarkEnd w:id="2"/>
    </w:p>
    <w:p w14:paraId="20B2A442" w14:textId="153D2594" w:rsidR="00620508" w:rsidRDefault="00806F29" w:rsidP="0092153F">
      <w:pPr>
        <w:jc w:val="both"/>
        <w:rPr>
          <w:szCs w:val="24"/>
          <w:lang w:val="en-ID"/>
        </w:rPr>
      </w:pPr>
      <w:r w:rsidRPr="0092153F">
        <w:rPr>
          <w:szCs w:val="24"/>
          <w:lang w:val="en"/>
        </w:rPr>
        <w:t xml:space="preserve">The purpose of this study is to empirically examine the </w:t>
      </w:r>
      <w:r w:rsidR="00BC6244">
        <w:rPr>
          <w:szCs w:val="24"/>
          <w:lang w:val="en"/>
        </w:rPr>
        <w:t>impact</w:t>
      </w:r>
      <w:r w:rsidR="004C3A3D">
        <w:rPr>
          <w:szCs w:val="24"/>
          <w:lang w:val="en"/>
        </w:rPr>
        <w:t xml:space="preserve"> of Local Revenue </w:t>
      </w:r>
      <w:r w:rsidRPr="0092153F">
        <w:rPr>
          <w:szCs w:val="24"/>
          <w:lang w:val="en"/>
        </w:rPr>
        <w:t>on Capital Expenditure, Infrastructure Financing,</w:t>
      </w:r>
      <w:r w:rsidR="004C3A3D">
        <w:rPr>
          <w:szCs w:val="24"/>
          <w:lang w:val="en"/>
        </w:rPr>
        <w:t xml:space="preserve"> Government</w:t>
      </w:r>
      <w:r w:rsidRPr="0092153F">
        <w:rPr>
          <w:szCs w:val="24"/>
          <w:lang w:val="en"/>
        </w:rPr>
        <w:t xml:space="preserve"> Accountability Performance</w:t>
      </w:r>
      <w:r w:rsidR="004C3A3D">
        <w:rPr>
          <w:szCs w:val="24"/>
          <w:lang w:val="en"/>
        </w:rPr>
        <w:t xml:space="preserve"> System and Budget Refocusing during </w:t>
      </w:r>
      <w:r w:rsidRPr="0092153F">
        <w:rPr>
          <w:szCs w:val="24"/>
          <w:lang w:val="en"/>
        </w:rPr>
        <w:t>pandemic as well as provide theoretical support in a new perspective, namely Pierre Bourdieu's Habitus Theory which vi</w:t>
      </w:r>
      <w:r w:rsidR="004C3A3D">
        <w:rPr>
          <w:szCs w:val="24"/>
          <w:lang w:val="en"/>
        </w:rPr>
        <w:t xml:space="preserve">ews budget behavior during </w:t>
      </w:r>
      <w:r w:rsidRPr="0092153F">
        <w:rPr>
          <w:szCs w:val="24"/>
          <w:lang w:val="en"/>
        </w:rPr>
        <w:t>economic pressure as a response to power relations that will determine the performance of local governments.</w:t>
      </w:r>
    </w:p>
    <w:p w14:paraId="13608433" w14:textId="77777777" w:rsidR="007175C5" w:rsidRPr="0092153F" w:rsidRDefault="007175C5" w:rsidP="0092153F">
      <w:pPr>
        <w:jc w:val="both"/>
        <w:rPr>
          <w:szCs w:val="24"/>
          <w:lang w:val="en-ID"/>
        </w:rPr>
      </w:pPr>
    </w:p>
    <w:p w14:paraId="126EEBFB" w14:textId="70128DB0" w:rsidR="00620508" w:rsidRPr="0092153F" w:rsidRDefault="000210ED" w:rsidP="0092153F">
      <w:pPr>
        <w:jc w:val="both"/>
        <w:rPr>
          <w:b/>
          <w:bCs/>
          <w:szCs w:val="24"/>
          <w:lang w:val="en-ID"/>
        </w:rPr>
      </w:pPr>
      <w:r>
        <w:rPr>
          <w:b/>
          <w:bCs/>
          <w:szCs w:val="24"/>
          <w:lang w:val="en"/>
        </w:rPr>
        <w:t>Literature</w:t>
      </w:r>
      <w:r w:rsidR="00620508" w:rsidRPr="0092153F">
        <w:rPr>
          <w:b/>
          <w:bCs/>
          <w:szCs w:val="24"/>
          <w:lang w:val="en"/>
        </w:rPr>
        <w:t xml:space="preserve"> Review</w:t>
      </w:r>
    </w:p>
    <w:p w14:paraId="0A77573C" w14:textId="77777777" w:rsidR="00620508" w:rsidRPr="0092153F" w:rsidRDefault="00620508" w:rsidP="0092153F">
      <w:pPr>
        <w:jc w:val="both"/>
        <w:rPr>
          <w:b/>
          <w:bCs/>
          <w:szCs w:val="24"/>
          <w:lang w:val="en-ID"/>
        </w:rPr>
      </w:pPr>
      <w:r w:rsidRPr="0092153F">
        <w:rPr>
          <w:b/>
          <w:bCs/>
          <w:szCs w:val="24"/>
          <w:lang w:val="en"/>
        </w:rPr>
        <w:t xml:space="preserve">Contingency </w:t>
      </w:r>
      <w:proofErr w:type="spellStart"/>
      <w:r w:rsidRPr="0092153F">
        <w:rPr>
          <w:b/>
          <w:bCs/>
          <w:szCs w:val="24"/>
          <w:lang w:val="en"/>
        </w:rPr>
        <w:t>Teory</w:t>
      </w:r>
      <w:proofErr w:type="spellEnd"/>
    </w:p>
    <w:p w14:paraId="1F5A569D" w14:textId="3D7C09E6" w:rsidR="00620508" w:rsidRPr="0092153F" w:rsidRDefault="00620508" w:rsidP="0092153F">
      <w:pPr>
        <w:jc w:val="both"/>
        <w:rPr>
          <w:szCs w:val="24"/>
          <w:lang w:val="en-ID"/>
        </w:rPr>
      </w:pPr>
      <w:proofErr w:type="spellStart"/>
      <w:r w:rsidRPr="0092153F">
        <w:rPr>
          <w:szCs w:val="24"/>
          <w:lang w:val="en"/>
        </w:rPr>
        <w:t>Teory</w:t>
      </w:r>
      <w:proofErr w:type="spellEnd"/>
      <w:r w:rsidRPr="0092153F">
        <w:rPr>
          <w:szCs w:val="24"/>
          <w:lang w:val="en"/>
        </w:rPr>
        <w:t xml:space="preserve"> Contingency (Fiedler) is a leadership theory in which a leader exerts influence depending on the situation of his group, leadership style and persona</w:t>
      </w:r>
      <w:r w:rsidR="006C27C9">
        <w:rPr>
          <w:szCs w:val="24"/>
          <w:lang w:val="en"/>
        </w:rPr>
        <w:t xml:space="preserve">lity and the approach that </w:t>
      </w:r>
      <w:proofErr w:type="spellStart"/>
      <w:r w:rsidR="006C27C9">
        <w:rPr>
          <w:szCs w:val="24"/>
          <w:lang w:val="en"/>
        </w:rPr>
        <w:t>propper</w:t>
      </w:r>
      <w:proofErr w:type="spellEnd"/>
      <w:r w:rsidRPr="0092153F">
        <w:rPr>
          <w:szCs w:val="24"/>
          <w:lang w:val="en"/>
        </w:rPr>
        <w:t xml:space="preserve"> his group. </w:t>
      </w:r>
      <w:r w:rsidRPr="0092153F">
        <w:rPr>
          <w:szCs w:val="24"/>
          <w:lang w:val="en"/>
        </w:rPr>
        <w:fldChar w:fldCharType="begin" w:fldLock="1"/>
      </w:r>
      <w:r w:rsidRPr="0092153F">
        <w:rPr>
          <w:szCs w:val="24"/>
          <w:lang w:val="en"/>
        </w:rPr>
        <w:instrText>ADDIN CSL_CITATION {"citationItems":[{"id":"ITEM-1","itemData":{"DOI":"10.1007/978-3-030-40805-3_3","abstract":"Paper ini mencoba menelaah konsep kepemimpinan situasional yang dipelopori diantaranya oleh Hersey and Blanchard, kemudian berkembang lagi teori Fiedler serta teori Path Goal. Dari  teori tersebut masing-masing menganalisis bahwa kepemimpinan tidak hanya terbentuk oleh kepribadian dari pemimpin itu saja, namun kepemimpinan terbentuk dari lingkungan serta faktor-faktor yang mempengaruhi keberhasilan dari situasi sebuah organisasi agar mencapai tujuan yang dimaksud. Secara singkatnya teori tersebut menggunakan analisis kuantitatif dalam proses mempengaruhi bawahan-bawahannya dengan menggunakan variable-variable yang sudah terukur sedemikian rupa.","author":[{"dropping-particle":"","family":"Harrison","given":"Christian","non-dropping-particle":"","parse-names":false,"suffix":""}],"container-title":"Traditional Paradigms of Leadership","id":"ITEM-1","issue":"1","issued":{"date-parts":[["2020"]]},"page":"76-87","title":"Contingency Leadership Theory","type":"article-journal","volume":"1"},"uris":["http://www.mendeley.com/documents/?uuid=dad7e3e3-d85a-467c-b895-257cc886adb7"]}],"mendeley":{"formattedCitation":"(Harrison, 2020)","plainTextFormattedCitation":"(Harrison, 2020)","previouslyFormattedCitation":"(Harrison, 2020)"},"properties":{"noteIndex":0},"schema":"https://github.com/citation-style-language/schema/raw/master/csl-citation.json"}</w:instrText>
      </w:r>
      <w:r w:rsidRPr="0092153F">
        <w:rPr>
          <w:szCs w:val="24"/>
          <w:lang w:val="en"/>
        </w:rPr>
        <w:fldChar w:fldCharType="separate"/>
      </w:r>
      <w:r w:rsidRPr="0092153F">
        <w:rPr>
          <w:noProof/>
          <w:szCs w:val="24"/>
          <w:lang w:val="en"/>
        </w:rPr>
        <w:t>(Harrison, 2020)</w:t>
      </w:r>
      <w:r w:rsidRPr="0092153F">
        <w:rPr>
          <w:szCs w:val="24"/>
          <w:lang w:val="en"/>
        </w:rPr>
        <w:fldChar w:fldCharType="end"/>
      </w:r>
      <w:r w:rsidRPr="0092153F">
        <w:rPr>
          <w:szCs w:val="24"/>
          <w:lang w:val="en"/>
        </w:rPr>
        <w:t>. In a brief sense according to Fiedler the leader is not based on his personality but also because of the factors of the situation and the way the leader mixes with his group. This the</w:t>
      </w:r>
      <w:r w:rsidR="006D0E80">
        <w:rPr>
          <w:szCs w:val="24"/>
          <w:lang w:val="en"/>
        </w:rPr>
        <w:t>ory is often referred to as situat</w:t>
      </w:r>
      <w:r w:rsidRPr="0092153F">
        <w:rPr>
          <w:szCs w:val="24"/>
          <w:lang w:val="en"/>
        </w:rPr>
        <w:t xml:space="preserve">ional theory because leadership is very dependent on the situation (Fiedler 1967). The high and low of a group's work achievements is influenced by the leadership style and the way the leader copes with the situation </w:t>
      </w:r>
      <w:r w:rsidR="003B03CB" w:rsidRPr="0092153F">
        <w:rPr>
          <w:szCs w:val="24"/>
          <w:lang w:val="en"/>
        </w:rPr>
        <w:fldChar w:fldCharType="begin" w:fldLock="1"/>
      </w:r>
      <w:r w:rsidR="003B03CB" w:rsidRPr="0092153F">
        <w:rPr>
          <w:szCs w:val="24"/>
          <w:lang w:val="en"/>
        </w:rPr>
        <w:instrText>ADDIN CSL_CITATION {"citationItems":[{"id":"ITEM-1","itemData":{"DOI":"10.1007/978-3-030-40805-3_3","abstract":"Paper ini mencoba menelaah konsep kepemimpinan situasional yang dipelopori diantaranya oleh Hersey and Blanchard, kemudian berkembang lagi teori Fiedler serta teori Path Goal. Dari  teori tersebut masing-masing menganalisis bahwa kepemimpinan tidak hanya terbentuk oleh kepribadian dari pemimpin itu saja, namun kepemimpinan terbentuk dari lingkungan serta faktor-faktor yang mempengaruhi keberhasilan dari situasi sebuah organisasi agar mencapai tujuan yang dimaksud. Secara singkatnya teori tersebut menggunakan analisis kuantitatif dalam proses mempengaruhi bawahan-bawahannya dengan menggunakan variable-variable yang sudah terukur sedemikian rupa.","author":[{"dropping-particle":"","family":"Harrison","given":"Christian","non-dropping-particle":"","parse-names":false,"suffix":""}],"container-title":"Traditional Paradigms of Leadership","id":"ITEM-1","issue":"1","issued":{"date-parts":[["2020"]]},"page":"76-87","title":"Contingency Leadership Theory","type":"article-journal","volume":"1"},"uris":["http://www.mendeley.com/documents/?uuid=dad7e3e3-d85a-467c-b895-257cc886adb7"]}],"mendeley":{"formattedCitation":"(Harrison, 2020)","plainTextFormattedCitation":"(Harrison, 2020)","previouslyFormattedCitation":"(Harrison, 2020)"},"properties":{"noteIndex":0},"schema":"https://github.com/citation-style-language/schema/raw/master/csl-citation.json"}</w:instrText>
      </w:r>
      <w:r w:rsidR="003B03CB" w:rsidRPr="0092153F">
        <w:rPr>
          <w:szCs w:val="24"/>
          <w:lang w:val="en"/>
        </w:rPr>
        <w:fldChar w:fldCharType="separate"/>
      </w:r>
      <w:r w:rsidR="003B03CB" w:rsidRPr="0092153F">
        <w:rPr>
          <w:noProof/>
          <w:szCs w:val="24"/>
          <w:lang w:val="en"/>
        </w:rPr>
        <w:t>(Harrison, 2020)</w:t>
      </w:r>
      <w:r w:rsidR="003B03CB" w:rsidRPr="0092153F">
        <w:rPr>
          <w:szCs w:val="24"/>
          <w:lang w:val="en"/>
        </w:rPr>
        <w:fldChar w:fldCharType="end"/>
      </w:r>
      <w:r w:rsidR="003B03CB" w:rsidRPr="0092153F">
        <w:rPr>
          <w:szCs w:val="24"/>
          <w:lang w:val="en"/>
        </w:rPr>
        <w:t xml:space="preserve">. </w:t>
      </w:r>
      <w:r>
        <w:rPr>
          <w:lang w:val="en"/>
        </w:rPr>
        <w:t xml:space="preserve"> </w:t>
      </w:r>
      <w:r w:rsidR="00BC4005" w:rsidRPr="0092153F">
        <w:rPr>
          <w:noProof/>
          <w:szCs w:val="24"/>
          <w:lang w:val="en"/>
        </w:rPr>
        <w:t xml:space="preserve"> Jorge, S., Mattei, G. (2018).</w:t>
      </w:r>
    </w:p>
    <w:p w14:paraId="40A16220" w14:textId="63C2BA3A" w:rsidR="00393C29" w:rsidRPr="00811B93" w:rsidRDefault="00393C29" w:rsidP="0092153F">
      <w:pPr>
        <w:jc w:val="both"/>
        <w:rPr>
          <w:b/>
          <w:bCs/>
          <w:szCs w:val="24"/>
          <w:lang w:val="en-ID"/>
        </w:rPr>
      </w:pPr>
      <w:r w:rsidRPr="00811B93">
        <w:rPr>
          <w:b/>
          <w:bCs/>
          <w:szCs w:val="24"/>
          <w:lang w:val="en"/>
        </w:rPr>
        <w:t>Pierre Bourdieu's Theory of Habitus</w:t>
      </w:r>
    </w:p>
    <w:p w14:paraId="0A3E4B3B" w14:textId="2274467A" w:rsidR="00393C29" w:rsidRPr="007175C5" w:rsidRDefault="00393C29" w:rsidP="0092153F">
      <w:pPr>
        <w:pStyle w:val="NormalWeb"/>
        <w:shd w:val="clear" w:color="auto" w:fill="FFFFFF"/>
        <w:spacing w:before="0" w:beforeAutospacing="0" w:after="0" w:afterAutospacing="0"/>
        <w:jc w:val="both"/>
        <w:textAlignment w:val="baseline"/>
        <w:rPr>
          <w:color w:val="000000" w:themeColor="text1"/>
        </w:rPr>
      </w:pPr>
      <w:r w:rsidRPr="007175C5">
        <w:rPr>
          <w:color w:val="000000" w:themeColor="text1"/>
          <w:lang w:val="en"/>
        </w:rPr>
        <w:t>At the heart of Bourdieu's theory of cultural sociolog</w:t>
      </w:r>
      <w:r w:rsidR="00D63C4E">
        <w:rPr>
          <w:color w:val="000000" w:themeColor="text1"/>
          <w:lang w:val="en"/>
        </w:rPr>
        <w:t xml:space="preserve">y is a "theory of human </w:t>
      </w:r>
      <w:proofErr w:type="spellStart"/>
      <w:r w:rsidR="00D63C4E">
        <w:rPr>
          <w:color w:val="000000" w:themeColor="text1"/>
          <w:lang w:val="en"/>
        </w:rPr>
        <w:t>behaviour</w:t>
      </w:r>
      <w:proofErr w:type="spellEnd"/>
      <w:r w:rsidRPr="007175C5">
        <w:rPr>
          <w:color w:val="000000" w:themeColor="text1"/>
          <w:lang w:val="en"/>
        </w:rPr>
        <w:t xml:space="preserve">" that combines </w:t>
      </w:r>
      <w:r w:rsidRPr="007175C5">
        <w:rPr>
          <w:i/>
          <w:iCs/>
          <w:color w:val="000000" w:themeColor="text1"/>
          <w:bdr w:val="none" w:sz="0" w:space="0" w:color="auto" w:frame="1"/>
          <w:lang w:val="en"/>
        </w:rPr>
        <w:t>agent-centered theory with</w:t>
      </w:r>
      <w:r w:rsidRPr="007175C5">
        <w:rPr>
          <w:color w:val="000000" w:themeColor="text1"/>
          <w:lang w:val="en"/>
        </w:rPr>
        <w:t xml:space="preserve"> an explanation of objectivism that emphasizes the structural dimensions of shaping social life.</w:t>
      </w:r>
    </w:p>
    <w:p w14:paraId="12D8D59A" w14:textId="784A5F37" w:rsidR="00393C29" w:rsidRPr="007175C5" w:rsidRDefault="00393C29" w:rsidP="0092153F">
      <w:pPr>
        <w:pStyle w:val="NormalWeb"/>
        <w:shd w:val="clear" w:color="auto" w:fill="FFFFFF"/>
        <w:spacing w:before="0" w:beforeAutospacing="0" w:after="0" w:afterAutospacing="0"/>
        <w:jc w:val="both"/>
        <w:textAlignment w:val="baseline"/>
        <w:rPr>
          <w:color w:val="000000" w:themeColor="text1"/>
        </w:rPr>
      </w:pPr>
      <w:r w:rsidRPr="007175C5">
        <w:rPr>
          <w:color w:val="000000" w:themeColor="text1"/>
          <w:lang w:val="en"/>
        </w:rPr>
        <w:t xml:space="preserve">The basis for the formation of his theory cannot be separated from Bourdieu's own experience which later influenced the building of his theory in his works, namely his experience while in Algiers, Algeria who conducted research in the Algiers society while serving as a teaching assistant, after he graduated from a leading philosophy school in Paris, France, namely </w:t>
      </w:r>
      <w:proofErr w:type="spellStart"/>
      <w:r w:rsidRPr="007175C5">
        <w:rPr>
          <w:color w:val="000000" w:themeColor="text1"/>
          <w:lang w:val="en"/>
        </w:rPr>
        <w:t>Lycèe</w:t>
      </w:r>
      <w:proofErr w:type="spellEnd"/>
      <w:r w:rsidRPr="007175C5">
        <w:rPr>
          <w:color w:val="000000" w:themeColor="text1"/>
          <w:lang w:val="en"/>
        </w:rPr>
        <w:t xml:space="preserve"> Louis le </w:t>
      </w:r>
      <w:proofErr w:type="spellStart"/>
      <w:r w:rsidRPr="007175C5">
        <w:rPr>
          <w:color w:val="000000" w:themeColor="text1"/>
          <w:lang w:val="en"/>
        </w:rPr>
        <w:t>Griand</w:t>
      </w:r>
      <w:proofErr w:type="spellEnd"/>
      <w:r w:rsidRPr="007175C5">
        <w:rPr>
          <w:color w:val="000000" w:themeColor="text1"/>
          <w:lang w:val="en"/>
        </w:rPr>
        <w:t xml:space="preserve"> and </w:t>
      </w:r>
      <w:proofErr w:type="spellStart"/>
      <w:r w:rsidRPr="007175C5">
        <w:rPr>
          <w:color w:val="000000" w:themeColor="text1"/>
          <w:lang w:val="en"/>
        </w:rPr>
        <w:t>Ècole</w:t>
      </w:r>
      <w:proofErr w:type="spellEnd"/>
      <w:r w:rsidRPr="007175C5">
        <w:rPr>
          <w:color w:val="000000" w:themeColor="text1"/>
          <w:lang w:val="en"/>
        </w:rPr>
        <w:t xml:space="preserve"> </w:t>
      </w:r>
      <w:proofErr w:type="spellStart"/>
      <w:r w:rsidRPr="007175C5">
        <w:rPr>
          <w:color w:val="000000" w:themeColor="text1"/>
          <w:lang w:val="en"/>
        </w:rPr>
        <w:t>Normale</w:t>
      </w:r>
      <w:proofErr w:type="spellEnd"/>
      <w:r w:rsidRPr="007175C5">
        <w:rPr>
          <w:color w:val="000000" w:themeColor="text1"/>
          <w:lang w:val="en"/>
        </w:rPr>
        <w:t xml:space="preserve"> </w:t>
      </w:r>
      <w:proofErr w:type="spellStart"/>
      <w:r w:rsidRPr="007175C5">
        <w:rPr>
          <w:color w:val="000000" w:themeColor="text1"/>
          <w:lang w:val="en"/>
        </w:rPr>
        <w:t>Supèrieure</w:t>
      </w:r>
      <w:proofErr w:type="spellEnd"/>
      <w:r w:rsidRPr="007175C5">
        <w:rPr>
          <w:color w:val="000000" w:themeColor="text1"/>
          <w:lang w:val="en"/>
        </w:rPr>
        <w:t xml:space="preserve"> in 1951. While at this second college, Bourdieu met and became acquainted with Michel Foucault, Jacques Derrida and Emmanuel Le Roy </w:t>
      </w:r>
      <w:proofErr w:type="spellStart"/>
      <w:r w:rsidRPr="007175C5">
        <w:rPr>
          <w:color w:val="000000" w:themeColor="text1"/>
          <w:lang w:val="en"/>
        </w:rPr>
        <w:t>Ladurie</w:t>
      </w:r>
      <w:proofErr w:type="spellEnd"/>
      <w:r w:rsidRPr="007175C5">
        <w:rPr>
          <w:color w:val="000000" w:themeColor="text1"/>
          <w:lang w:val="en"/>
        </w:rPr>
        <w:t xml:space="preserve">. Personal experiences in the family also </w:t>
      </w:r>
      <w:r>
        <w:rPr>
          <w:lang w:val="en"/>
        </w:rPr>
        <w:t xml:space="preserve"> shaped </w:t>
      </w:r>
      <w:r w:rsidRPr="007175C5">
        <w:rPr>
          <w:color w:val="000000" w:themeColor="text1"/>
          <w:lang w:val="en"/>
        </w:rPr>
        <w:t xml:space="preserve"> Bourdieu's habitus and also influenced his work. Born Pierre </w:t>
      </w:r>
      <w:proofErr w:type="spellStart"/>
      <w:r w:rsidRPr="007175C5">
        <w:rPr>
          <w:color w:val="000000" w:themeColor="text1"/>
          <w:lang w:val="en"/>
        </w:rPr>
        <w:t>Fèlix</w:t>
      </w:r>
      <w:proofErr w:type="spellEnd"/>
      <w:r w:rsidRPr="007175C5">
        <w:rPr>
          <w:color w:val="000000" w:themeColor="text1"/>
          <w:lang w:val="en"/>
        </w:rPr>
        <w:t xml:space="preserve"> Bourdieu (1930 – 2002), in a small village called </w:t>
      </w:r>
      <w:proofErr w:type="spellStart"/>
      <w:r w:rsidRPr="007175C5">
        <w:rPr>
          <w:color w:val="000000" w:themeColor="text1"/>
          <w:lang w:val="en"/>
        </w:rPr>
        <w:t>Denguin</w:t>
      </w:r>
      <w:proofErr w:type="spellEnd"/>
      <w:r w:rsidRPr="007175C5">
        <w:rPr>
          <w:color w:val="000000" w:themeColor="text1"/>
          <w:lang w:val="en"/>
        </w:rPr>
        <w:t xml:space="preserve">, in the </w:t>
      </w:r>
      <w:proofErr w:type="spellStart"/>
      <w:r w:rsidRPr="007175C5">
        <w:rPr>
          <w:color w:val="000000" w:themeColor="text1"/>
          <w:lang w:val="en"/>
        </w:rPr>
        <w:t>Béarn</w:t>
      </w:r>
      <w:proofErr w:type="spellEnd"/>
      <w:r w:rsidRPr="007175C5">
        <w:rPr>
          <w:color w:val="000000" w:themeColor="text1"/>
          <w:lang w:val="en"/>
        </w:rPr>
        <w:t xml:space="preserve"> region of </w:t>
      </w:r>
      <w:proofErr w:type="spellStart"/>
      <w:r w:rsidRPr="007175C5">
        <w:rPr>
          <w:color w:val="000000" w:themeColor="text1"/>
          <w:lang w:val="en"/>
        </w:rPr>
        <w:t>Pyrénées</w:t>
      </w:r>
      <w:proofErr w:type="spellEnd"/>
      <w:r w:rsidRPr="007175C5">
        <w:rPr>
          <w:color w:val="000000" w:themeColor="text1"/>
          <w:lang w:val="en"/>
        </w:rPr>
        <w:t>, France on August 1, 1930.  He came from an ordinary and large family in a lower-middle-class environment, and later broke through to an elite college with a bourgeois-style environment. This striking change in habitus and arena also influenced his work which later led him to become a cultural sociologist, ethnologist, anthropologist and philosopher to be reckoned</w:t>
      </w:r>
      <w:r>
        <w:rPr>
          <w:lang w:val="en"/>
        </w:rPr>
        <w:t xml:space="preserve"> with</w:t>
      </w:r>
    </w:p>
    <w:p w14:paraId="23872D25" w14:textId="465EC269" w:rsidR="00393C29" w:rsidRPr="007175C5" w:rsidRDefault="00234057" w:rsidP="0092153F">
      <w:pPr>
        <w:jc w:val="both"/>
        <w:rPr>
          <w:color w:val="000000" w:themeColor="text1"/>
          <w:szCs w:val="24"/>
        </w:rPr>
      </w:pPr>
      <w:r w:rsidRPr="007175C5">
        <w:rPr>
          <w:color w:val="000000" w:themeColor="text1"/>
          <w:szCs w:val="24"/>
          <w:lang w:val="en"/>
        </w:rPr>
        <w:t>Pierre Bourdieu's applied theory of habitus in regional budgeting views that capital can be obtained if one is in the right habitus, which allows one to gain knowledge, experience and other capital that facilitates one's opportunity. The habitus of regional financial managers generates knowledge and experience capital, while emotional attachment because they share the same preferences, and the long-lasting socialization process, generates cultural capital for local government structures. It is through this greater power of capital</w:t>
      </w:r>
      <w:r w:rsidR="006F0CEF">
        <w:rPr>
          <w:color w:val="000000" w:themeColor="text1"/>
          <w:szCs w:val="24"/>
          <w:lang w:val="en"/>
        </w:rPr>
        <w:t xml:space="preserve"> that </w:t>
      </w:r>
      <w:r w:rsidR="00197FA3">
        <w:rPr>
          <w:color w:val="000000" w:themeColor="text1"/>
          <w:szCs w:val="24"/>
          <w:lang w:val="en"/>
        </w:rPr>
        <w:t>local</w:t>
      </w:r>
      <w:r w:rsidR="006F0CEF">
        <w:rPr>
          <w:color w:val="000000" w:themeColor="text1"/>
          <w:szCs w:val="24"/>
          <w:lang w:val="en"/>
        </w:rPr>
        <w:t xml:space="preserve"> governments have</w:t>
      </w:r>
      <w:r w:rsidRPr="007175C5">
        <w:rPr>
          <w:color w:val="000000" w:themeColor="text1"/>
          <w:szCs w:val="24"/>
          <w:lang w:val="en"/>
        </w:rPr>
        <w:t xml:space="preserve"> power to operate in the realm o</w:t>
      </w:r>
      <w:r w:rsidR="006F0CEF">
        <w:rPr>
          <w:color w:val="000000" w:themeColor="text1"/>
          <w:szCs w:val="24"/>
          <w:lang w:val="en"/>
        </w:rPr>
        <w:t>f decision-making. They have</w:t>
      </w:r>
      <w:r w:rsidRPr="007175C5">
        <w:rPr>
          <w:color w:val="000000" w:themeColor="text1"/>
          <w:szCs w:val="24"/>
          <w:lang w:val="en"/>
        </w:rPr>
        <w:t xml:space="preserve"> ability to control other forces in the budget discussion arena.</w:t>
      </w:r>
    </w:p>
    <w:p w14:paraId="42F4196D" w14:textId="79C9E5D7" w:rsidR="00393C29" w:rsidRPr="0092153F" w:rsidRDefault="00D34685" w:rsidP="0092153F">
      <w:pPr>
        <w:jc w:val="both"/>
        <w:rPr>
          <w:szCs w:val="24"/>
          <w:lang w:val="en-ID"/>
        </w:rPr>
      </w:pPr>
      <w:r w:rsidRPr="007175C5">
        <w:rPr>
          <w:color w:val="000000" w:themeColor="text1"/>
          <w:szCs w:val="24"/>
          <w:lang w:val="en"/>
        </w:rPr>
        <w:lastRenderedPageBreak/>
        <w:t xml:space="preserve">This is inseparable from the budget politics associated with the attention of local government organizers to compile budgets based on the interests of the community. Although it must be realized that it is impossible for all people's aspirations to obtain the allocation and distribution of budgets, due to the limited resources owned by the regions.  In certain situations, where there is certain political pressure, either from the internal local government itself or regulations from the central government driven by the economic situation, encourage local governments to change their existing financing priorities. This has resulted in the emergence of </w:t>
      </w:r>
      <w:r w:rsidR="00A9172A" w:rsidRPr="007175C5">
        <w:rPr>
          <w:i/>
          <w:color w:val="000000" w:themeColor="text1"/>
          <w:szCs w:val="24"/>
          <w:lang w:val="en"/>
        </w:rPr>
        <w:t xml:space="preserve">a budget </w:t>
      </w:r>
      <w:r w:rsidR="00A9172A" w:rsidRPr="0092153F">
        <w:rPr>
          <w:i/>
          <w:szCs w:val="24"/>
          <w:lang w:val="en"/>
        </w:rPr>
        <w:t>refocusing</w:t>
      </w:r>
      <w:r>
        <w:rPr>
          <w:lang w:val="en"/>
        </w:rPr>
        <w:t xml:space="preserve"> program</w:t>
      </w:r>
      <w:r w:rsidR="00A9172A" w:rsidRPr="0092153F">
        <w:rPr>
          <w:szCs w:val="24"/>
          <w:lang w:val="en"/>
        </w:rPr>
        <w:t xml:space="preserve">, where part of the budget will be diverted to certain sectors that are urgent to be financed.  The consequences of the emergence of </w:t>
      </w:r>
      <w:r w:rsidR="00A9172A" w:rsidRPr="0092153F">
        <w:rPr>
          <w:i/>
          <w:szCs w:val="24"/>
          <w:lang w:val="en"/>
        </w:rPr>
        <w:t>budget refocusing</w:t>
      </w:r>
      <w:r w:rsidR="00A9172A" w:rsidRPr="0092153F">
        <w:rPr>
          <w:szCs w:val="24"/>
          <w:lang w:val="en"/>
        </w:rPr>
        <w:t xml:space="preserve"> include an impact on the resilience of the </w:t>
      </w:r>
      <w:r w:rsidR="006F0CEF">
        <w:rPr>
          <w:szCs w:val="24"/>
          <w:lang w:val="en"/>
        </w:rPr>
        <w:t xml:space="preserve">government's budget.  It </w:t>
      </w:r>
      <w:proofErr w:type="spellStart"/>
      <w:r w:rsidR="006F0CEF">
        <w:rPr>
          <w:szCs w:val="24"/>
          <w:lang w:val="en"/>
        </w:rPr>
        <w:t>it</w:t>
      </w:r>
      <w:proofErr w:type="spellEnd"/>
      <w:r w:rsidR="006F0CEF">
        <w:rPr>
          <w:szCs w:val="24"/>
          <w:lang w:val="en"/>
        </w:rPr>
        <w:t xml:space="preserve"> </w:t>
      </w:r>
      <w:r w:rsidR="00A9172A" w:rsidRPr="0092153F">
        <w:rPr>
          <w:szCs w:val="24"/>
          <w:lang w:val="en"/>
        </w:rPr>
        <w:t>cause</w:t>
      </w:r>
      <w:r w:rsidR="006F0CEF">
        <w:rPr>
          <w:szCs w:val="24"/>
          <w:lang w:val="en"/>
        </w:rPr>
        <w:t xml:space="preserve">d the shift </w:t>
      </w:r>
      <w:r w:rsidR="00A9172A" w:rsidRPr="0092153F">
        <w:rPr>
          <w:szCs w:val="24"/>
          <w:lang w:val="en"/>
        </w:rPr>
        <w:t>source of Regional Revenue is not proportional to the number of programs that must be financed, while infrastructure financing and capital expenditure as part of productive expenditure must continue, in order to generate regional revenue streams from (</w:t>
      </w:r>
      <w:proofErr w:type="spellStart"/>
      <w:r w:rsidR="00A9172A" w:rsidRPr="0092153F">
        <w:rPr>
          <w:szCs w:val="24"/>
          <w:lang w:val="en"/>
        </w:rPr>
        <w:t>Ozili</w:t>
      </w:r>
      <w:proofErr w:type="spellEnd"/>
      <w:r w:rsidR="00A9172A" w:rsidRPr="0092153F">
        <w:rPr>
          <w:szCs w:val="24"/>
          <w:lang w:val="en"/>
        </w:rPr>
        <w:t xml:space="preserve"> ,2020; De Villiers et.al.,2020).  In the end, such a budgeting pattern will </w:t>
      </w:r>
      <w:r w:rsidR="00254B59">
        <w:rPr>
          <w:szCs w:val="24"/>
          <w:lang w:val="en"/>
        </w:rPr>
        <w:t>impact</w:t>
      </w:r>
      <w:r w:rsidR="00A9172A" w:rsidRPr="0092153F">
        <w:rPr>
          <w:szCs w:val="24"/>
          <w:lang w:val="en"/>
        </w:rPr>
        <w:t xml:space="preserve"> the performance of the government.  The financial resilience of local governme</w:t>
      </w:r>
      <w:r w:rsidR="005C508F">
        <w:rPr>
          <w:szCs w:val="24"/>
          <w:lang w:val="en"/>
        </w:rPr>
        <w:t>nts is determined by capability the regions for</w:t>
      </w:r>
      <w:r w:rsidR="00A9172A" w:rsidRPr="0092153F">
        <w:rPr>
          <w:szCs w:val="24"/>
          <w:lang w:val="en"/>
        </w:rPr>
        <w:t xml:space="preserve"> mapping n</w:t>
      </w:r>
      <w:r w:rsidR="005C508F">
        <w:rPr>
          <w:szCs w:val="24"/>
          <w:lang w:val="en"/>
        </w:rPr>
        <w:t>eeds and allocating resources according to</w:t>
      </w:r>
      <w:r w:rsidR="00A9172A" w:rsidRPr="0092153F">
        <w:rPr>
          <w:szCs w:val="24"/>
          <w:lang w:val="en"/>
        </w:rPr>
        <w:t xml:space="preserve"> target (</w:t>
      </w:r>
      <w:proofErr w:type="spellStart"/>
      <w:r w:rsidR="00C45F10" w:rsidRPr="0092153F">
        <w:rPr>
          <w:noProof/>
          <w:szCs w:val="24"/>
          <w:lang w:val="en"/>
        </w:rPr>
        <w:t>Padovani</w:t>
      </w:r>
      <w:proofErr w:type="spellEnd"/>
      <w:r w:rsidR="00C45F10" w:rsidRPr="0092153F">
        <w:rPr>
          <w:noProof/>
          <w:szCs w:val="24"/>
          <w:lang w:val="en"/>
        </w:rPr>
        <w:t xml:space="preserve">, E., </w:t>
      </w:r>
      <w:r w:rsidR="003343B3">
        <w:rPr>
          <w:noProof/>
          <w:szCs w:val="24"/>
          <w:lang w:val="en"/>
        </w:rPr>
        <w:t xml:space="preserve">et all </w:t>
      </w:r>
      <w:r w:rsidR="00C45F10" w:rsidRPr="0092153F">
        <w:rPr>
          <w:noProof/>
          <w:szCs w:val="24"/>
          <w:lang w:val="en"/>
        </w:rPr>
        <w:t>2021).</w:t>
      </w:r>
      <w:r>
        <w:rPr>
          <w:lang w:val="en"/>
        </w:rPr>
        <w:t xml:space="preserve"> </w:t>
      </w:r>
      <w:r w:rsidR="007B3E9B" w:rsidRPr="0092153F">
        <w:rPr>
          <w:szCs w:val="24"/>
          <w:lang w:val="en"/>
        </w:rPr>
        <w:t xml:space="preserve"> In the allocation process, the</w:t>
      </w:r>
      <w:r w:rsidR="006D6727">
        <w:rPr>
          <w:szCs w:val="24"/>
          <w:lang w:val="en"/>
        </w:rPr>
        <w:t xml:space="preserve"> local government's view of </w:t>
      </w:r>
      <w:r w:rsidR="007B3E9B" w:rsidRPr="0092153F">
        <w:rPr>
          <w:szCs w:val="24"/>
          <w:lang w:val="en"/>
        </w:rPr>
        <w:t>budget as an "arena" in the context of Pierre Bourdieu's Habitus theory became the main determinant for maintaining the performance of lo</w:t>
      </w:r>
      <w:r w:rsidR="00994E0B">
        <w:rPr>
          <w:szCs w:val="24"/>
          <w:lang w:val="en"/>
        </w:rPr>
        <w:t xml:space="preserve">cal government.  It gives consequence to </w:t>
      </w:r>
      <w:r w:rsidR="007B3E9B" w:rsidRPr="0092153F">
        <w:rPr>
          <w:szCs w:val="24"/>
          <w:lang w:val="en"/>
        </w:rPr>
        <w:t>the budgeting process</w:t>
      </w:r>
      <w:r w:rsidR="00994E0B">
        <w:rPr>
          <w:szCs w:val="24"/>
          <w:lang w:val="en"/>
        </w:rPr>
        <w:t xml:space="preserve"> that</w:t>
      </w:r>
      <w:r w:rsidR="007B3E9B" w:rsidRPr="0092153F">
        <w:rPr>
          <w:szCs w:val="24"/>
          <w:lang w:val="en"/>
        </w:rPr>
        <w:t xml:space="preserve"> there is a tug-of-war of interests, and, parties who have stronger power relations will be the determinants of budget policy. The mindset of</w:t>
      </w:r>
      <w:r w:rsidR="00D6509B">
        <w:rPr>
          <w:szCs w:val="24"/>
          <w:lang w:val="en"/>
        </w:rPr>
        <w:t xml:space="preserve"> power relations holders</w:t>
      </w:r>
      <w:r w:rsidR="007B3E9B" w:rsidRPr="0092153F">
        <w:rPr>
          <w:szCs w:val="24"/>
          <w:lang w:val="en"/>
        </w:rPr>
        <w:t xml:space="preserve"> will determine the direction of alignmen</w:t>
      </w:r>
      <w:r w:rsidR="00D6509B">
        <w:rPr>
          <w:szCs w:val="24"/>
          <w:lang w:val="en"/>
        </w:rPr>
        <w:t>t of budget patterns during</w:t>
      </w:r>
      <w:r w:rsidR="007B3E9B" w:rsidRPr="0092153F">
        <w:rPr>
          <w:szCs w:val="24"/>
          <w:lang w:val="en"/>
        </w:rPr>
        <w:t xml:space="preserve"> economic pressure.  If the allocation of the budget during a period of economic pressure prioritizes the interests of the community while still considering efficiency, effectiveness and economic level (</w:t>
      </w:r>
      <w:r w:rsidR="001405C3" w:rsidRPr="0092153F">
        <w:rPr>
          <w:i/>
          <w:szCs w:val="24"/>
          <w:lang w:val="en"/>
        </w:rPr>
        <w:t>value for money oriented</w:t>
      </w:r>
      <w:r>
        <w:rPr>
          <w:lang w:val="en"/>
        </w:rPr>
        <w:t xml:space="preserve">), then the government's </w:t>
      </w:r>
      <w:r w:rsidR="001405C3" w:rsidRPr="0092153F">
        <w:rPr>
          <w:szCs w:val="24"/>
          <w:lang w:val="en"/>
        </w:rPr>
        <w:t>financial resilience will still be maintained so that the government's performance does not decrease.  How</w:t>
      </w:r>
      <w:r w:rsidR="00A70EF6">
        <w:rPr>
          <w:szCs w:val="24"/>
          <w:lang w:val="en"/>
        </w:rPr>
        <w:t>ever, if it is the other hand,</w:t>
      </w:r>
      <w:r w:rsidR="001405C3" w:rsidRPr="0092153F">
        <w:rPr>
          <w:szCs w:val="24"/>
          <w:lang w:val="en"/>
        </w:rPr>
        <w:t xml:space="preserve"> the potential for a decrease in performance will be even greater (Ahrens &amp;</w:t>
      </w:r>
      <w:r>
        <w:rPr>
          <w:lang w:val="en"/>
        </w:rPr>
        <w:t xml:space="preserve">Ferry, 2020 </w:t>
      </w:r>
      <w:r w:rsidR="00ED1E15" w:rsidRPr="0092153F">
        <w:rPr>
          <w:szCs w:val="24"/>
          <w:lang w:val="en"/>
        </w:rPr>
        <w:t xml:space="preserve">and </w:t>
      </w:r>
      <w:proofErr w:type="spellStart"/>
      <w:r w:rsidR="00ED1E15" w:rsidRPr="0092153F">
        <w:rPr>
          <w:szCs w:val="24"/>
          <w:lang w:val="en"/>
        </w:rPr>
        <w:t>Borroy</w:t>
      </w:r>
      <w:proofErr w:type="spellEnd"/>
      <w:r w:rsidR="00ED1E15" w:rsidRPr="0092153F">
        <w:rPr>
          <w:szCs w:val="24"/>
          <w:lang w:val="en"/>
        </w:rPr>
        <w:t>, 2020).</w:t>
      </w:r>
      <w:r>
        <w:rPr>
          <w:lang w:val="en"/>
        </w:rPr>
        <w:t xml:space="preserve"> </w:t>
      </w:r>
    </w:p>
    <w:p w14:paraId="14F4C771" w14:textId="77E31AA4" w:rsidR="000210ED" w:rsidRDefault="00287BD1" w:rsidP="0092153F">
      <w:pPr>
        <w:jc w:val="both"/>
        <w:rPr>
          <w:szCs w:val="24"/>
          <w:lang w:val="en-ID"/>
        </w:rPr>
      </w:pPr>
      <w:r w:rsidRPr="0092153F">
        <w:rPr>
          <w:szCs w:val="24"/>
          <w:lang w:val="en"/>
        </w:rPr>
        <w:t>For local governments that h</w:t>
      </w:r>
      <w:r w:rsidR="000A47C7">
        <w:rPr>
          <w:szCs w:val="24"/>
          <w:lang w:val="en"/>
        </w:rPr>
        <w:t xml:space="preserve">ave high Local Revenue </w:t>
      </w:r>
      <w:r w:rsidRPr="0092153F">
        <w:rPr>
          <w:szCs w:val="24"/>
          <w:lang w:val="en"/>
        </w:rPr>
        <w:t xml:space="preserve">and already have an adequate capital expenditure and infrastructure budgeting formula, through an e-government-based budget planning mechanism, </w:t>
      </w:r>
      <w:r w:rsidR="002F1A0B" w:rsidRPr="0092153F">
        <w:rPr>
          <w:szCs w:val="24"/>
          <w:lang w:val="en"/>
        </w:rPr>
        <w:t xml:space="preserve">power relations can be suppressed in such a way, so that the implementation of an all-measurable performance-based budget can be achieved (Andrew et.al. ;2020, and </w:t>
      </w:r>
      <w:proofErr w:type="spellStart"/>
      <w:r w:rsidR="002F1A0B" w:rsidRPr="0092153F">
        <w:rPr>
          <w:szCs w:val="24"/>
          <w:lang w:val="en"/>
        </w:rPr>
        <w:t>Curristine</w:t>
      </w:r>
      <w:proofErr w:type="spellEnd"/>
      <w:r w:rsidR="002F1A0B" w:rsidRPr="0092153F">
        <w:rPr>
          <w:szCs w:val="24"/>
          <w:lang w:val="en"/>
        </w:rPr>
        <w:t xml:space="preserve"> </w:t>
      </w:r>
      <w:r w:rsidR="002F1A0B" w:rsidRPr="0092153F">
        <w:rPr>
          <w:i/>
          <w:szCs w:val="24"/>
          <w:lang w:val="en"/>
        </w:rPr>
        <w:t>et.</w:t>
      </w:r>
      <w:r>
        <w:rPr>
          <w:lang w:val="en"/>
        </w:rPr>
        <w:t xml:space="preserve">   </w:t>
      </w:r>
      <w:r w:rsidR="002F1A0B" w:rsidRPr="0092153F">
        <w:rPr>
          <w:szCs w:val="24"/>
          <w:lang w:val="en"/>
        </w:rPr>
        <w:t xml:space="preserve"> al;2020).  Similarly, the existence of high Local Revenue will make it easier for local govern</w:t>
      </w:r>
      <w:r w:rsidR="000A47C7">
        <w:rPr>
          <w:szCs w:val="24"/>
          <w:lang w:val="en"/>
        </w:rPr>
        <w:t>ments to divert budgets during</w:t>
      </w:r>
      <w:r w:rsidR="002F1A0B" w:rsidRPr="0092153F">
        <w:rPr>
          <w:szCs w:val="24"/>
          <w:lang w:val="en"/>
        </w:rPr>
        <w:t xml:space="preserve"> economic pressure</w:t>
      </w:r>
      <w:r w:rsidR="00561347" w:rsidRPr="0092153F">
        <w:rPr>
          <w:noProof/>
          <w:szCs w:val="24"/>
          <w:lang w:val="en"/>
        </w:rPr>
        <w:t xml:space="preserve"> (Klimanov V, Kazakova S, Mikhaylova A .et al,2021)</w:t>
      </w:r>
      <w:r w:rsidR="00E0069E">
        <w:rPr>
          <w:noProof/>
          <w:szCs w:val="24"/>
          <w:lang w:val="en"/>
        </w:rPr>
        <w:t>.</w:t>
      </w:r>
    </w:p>
    <w:p w14:paraId="028FDD3D" w14:textId="77777777" w:rsidR="000210ED" w:rsidRPr="0092153F" w:rsidRDefault="000210ED" w:rsidP="0092153F">
      <w:pPr>
        <w:jc w:val="both"/>
        <w:rPr>
          <w:szCs w:val="24"/>
          <w:lang w:val="en-ID"/>
        </w:rPr>
      </w:pPr>
    </w:p>
    <w:p w14:paraId="5AFD2921" w14:textId="71BA46ED" w:rsidR="00620508" w:rsidRPr="0092153F" w:rsidRDefault="00620508" w:rsidP="0092153F">
      <w:pPr>
        <w:jc w:val="both"/>
        <w:rPr>
          <w:b/>
          <w:bCs/>
          <w:szCs w:val="24"/>
          <w:lang w:val="en-ID"/>
        </w:rPr>
      </w:pPr>
      <w:r w:rsidRPr="0092153F">
        <w:rPr>
          <w:b/>
          <w:bCs/>
          <w:szCs w:val="24"/>
          <w:lang w:val="en"/>
        </w:rPr>
        <w:t>Hypothesis Development</w:t>
      </w:r>
    </w:p>
    <w:p w14:paraId="123FF035" w14:textId="5145CA90" w:rsidR="00620508" w:rsidRPr="007175C5" w:rsidRDefault="00620508" w:rsidP="0092153F">
      <w:pPr>
        <w:pStyle w:val="ListParagraph"/>
        <w:numPr>
          <w:ilvl w:val="0"/>
          <w:numId w:val="9"/>
        </w:numPr>
        <w:jc w:val="both"/>
        <w:rPr>
          <w:color w:val="000000" w:themeColor="text1"/>
          <w:szCs w:val="24"/>
          <w:lang w:val="en-ID"/>
        </w:rPr>
      </w:pPr>
      <w:r w:rsidRPr="007175C5">
        <w:rPr>
          <w:color w:val="000000" w:themeColor="text1"/>
          <w:szCs w:val="24"/>
          <w:lang w:val="en"/>
        </w:rPr>
        <w:t>Effect of Local Revenue on Capital Expenditure</w:t>
      </w:r>
    </w:p>
    <w:p w14:paraId="767F82FA" w14:textId="63AE540E" w:rsidR="00620508" w:rsidRPr="007175C5" w:rsidRDefault="0036395D" w:rsidP="0092153F">
      <w:pPr>
        <w:jc w:val="both"/>
        <w:rPr>
          <w:color w:val="000000" w:themeColor="text1"/>
          <w:szCs w:val="24"/>
          <w:lang w:val="en-ID"/>
        </w:rPr>
      </w:pPr>
      <w:r>
        <w:rPr>
          <w:color w:val="000000" w:themeColor="text1"/>
          <w:szCs w:val="24"/>
          <w:lang w:val="en"/>
        </w:rPr>
        <w:t>Local Revenue</w:t>
      </w:r>
      <w:r w:rsidR="00620508" w:rsidRPr="007175C5">
        <w:rPr>
          <w:color w:val="000000" w:themeColor="text1"/>
          <w:szCs w:val="24"/>
          <w:lang w:val="en"/>
        </w:rPr>
        <w:t xml:space="preserve"> aff</w:t>
      </w:r>
      <w:r>
        <w:rPr>
          <w:color w:val="000000" w:themeColor="text1"/>
          <w:szCs w:val="24"/>
          <w:lang w:val="en"/>
        </w:rPr>
        <w:t>ects capital expenditure, if Local Revenue</w:t>
      </w:r>
      <w:r w:rsidR="00620508" w:rsidRPr="007175C5">
        <w:rPr>
          <w:color w:val="000000" w:themeColor="text1"/>
          <w:szCs w:val="24"/>
          <w:lang w:val="en"/>
        </w:rPr>
        <w:t xml:space="preserve"> increases, Capital Expenditure will also increase. Jaya and </w:t>
      </w:r>
      <w:proofErr w:type="spellStart"/>
      <w:r w:rsidR="00620508" w:rsidRPr="007175C5">
        <w:rPr>
          <w:color w:val="000000" w:themeColor="text1"/>
          <w:szCs w:val="24"/>
          <w:lang w:val="en"/>
        </w:rPr>
        <w:t>Dwirandra</w:t>
      </w:r>
      <w:proofErr w:type="spellEnd"/>
      <w:r w:rsidR="00620508" w:rsidRPr="007175C5">
        <w:rPr>
          <w:color w:val="000000" w:themeColor="text1"/>
          <w:szCs w:val="24"/>
          <w:lang w:val="en"/>
        </w:rPr>
        <w:t xml:space="preserve"> (2014) stated</w:t>
      </w:r>
      <w:r>
        <w:rPr>
          <w:color w:val="000000" w:themeColor="text1"/>
          <w:szCs w:val="24"/>
          <w:lang w:val="en"/>
        </w:rPr>
        <w:t xml:space="preserve"> in their research that high </w:t>
      </w:r>
      <w:proofErr w:type="spellStart"/>
      <w:r>
        <w:rPr>
          <w:color w:val="000000" w:themeColor="text1"/>
          <w:szCs w:val="24"/>
          <w:lang w:val="en"/>
        </w:rPr>
        <w:t>ammount</w:t>
      </w:r>
      <w:proofErr w:type="spellEnd"/>
      <w:r>
        <w:rPr>
          <w:color w:val="000000" w:themeColor="text1"/>
          <w:szCs w:val="24"/>
          <w:lang w:val="en"/>
        </w:rPr>
        <w:t xml:space="preserve"> in Local revenue</w:t>
      </w:r>
      <w:r w:rsidR="00620508" w:rsidRPr="007175C5">
        <w:rPr>
          <w:color w:val="000000" w:themeColor="text1"/>
          <w:szCs w:val="24"/>
          <w:lang w:val="en"/>
        </w:rPr>
        <w:t xml:space="preserve"> acquisition in an area will be used by local governments to provide</w:t>
      </w:r>
      <w:r>
        <w:rPr>
          <w:color w:val="000000" w:themeColor="text1"/>
          <w:szCs w:val="24"/>
          <w:lang w:val="en"/>
        </w:rPr>
        <w:t xml:space="preserve"> </w:t>
      </w:r>
      <w:r w:rsidR="00C6012C">
        <w:rPr>
          <w:color w:val="000000" w:themeColor="text1"/>
          <w:szCs w:val="24"/>
          <w:lang w:val="en"/>
        </w:rPr>
        <w:t xml:space="preserve">public services through </w:t>
      </w:r>
      <w:r w:rsidR="00620508" w:rsidRPr="007175C5">
        <w:rPr>
          <w:color w:val="000000" w:themeColor="text1"/>
          <w:szCs w:val="24"/>
          <w:lang w:val="en"/>
        </w:rPr>
        <w:t xml:space="preserve"> increasing capital expenditure. </w:t>
      </w:r>
      <w:proofErr w:type="spellStart"/>
      <w:r w:rsidR="00620508" w:rsidRPr="007175C5">
        <w:rPr>
          <w:color w:val="000000" w:themeColor="text1"/>
          <w:szCs w:val="24"/>
          <w:lang w:val="en"/>
        </w:rPr>
        <w:t>Nabukeera</w:t>
      </w:r>
      <w:proofErr w:type="spellEnd"/>
      <w:r w:rsidR="00620508" w:rsidRPr="007175C5">
        <w:rPr>
          <w:color w:val="000000" w:themeColor="text1"/>
          <w:szCs w:val="24"/>
          <w:lang w:val="en"/>
        </w:rPr>
        <w:t xml:space="preserve"> Madinah 2021 stat</w:t>
      </w:r>
      <w:r w:rsidR="006A2964">
        <w:rPr>
          <w:color w:val="000000" w:themeColor="text1"/>
          <w:szCs w:val="24"/>
          <w:lang w:val="en"/>
        </w:rPr>
        <w:t>ed that Local Revenue</w:t>
      </w:r>
      <w:r w:rsidR="00620508" w:rsidRPr="007175C5">
        <w:rPr>
          <w:color w:val="000000" w:themeColor="text1"/>
          <w:szCs w:val="24"/>
          <w:lang w:val="en"/>
        </w:rPr>
        <w:t xml:space="preserve"> has a significant positive effect on Capital Expenditure. Ishak 2022 also s</w:t>
      </w:r>
      <w:r w:rsidR="00444D12">
        <w:rPr>
          <w:color w:val="000000" w:themeColor="text1"/>
          <w:szCs w:val="24"/>
          <w:lang w:val="en"/>
        </w:rPr>
        <w:t>tated the same thing, Local Revenue</w:t>
      </w:r>
      <w:r w:rsidR="00620508" w:rsidRPr="007175C5">
        <w:rPr>
          <w:color w:val="000000" w:themeColor="text1"/>
          <w:szCs w:val="24"/>
          <w:lang w:val="en"/>
        </w:rPr>
        <w:t xml:space="preserve"> has a significant positive e</w:t>
      </w:r>
      <w:r w:rsidR="00444D12">
        <w:rPr>
          <w:color w:val="000000" w:themeColor="text1"/>
          <w:szCs w:val="24"/>
          <w:lang w:val="en"/>
        </w:rPr>
        <w:t>ffect on Capital Expenditure. According to</w:t>
      </w:r>
      <w:r w:rsidR="00620508" w:rsidRPr="007175C5">
        <w:rPr>
          <w:color w:val="000000" w:themeColor="text1"/>
          <w:szCs w:val="24"/>
          <w:lang w:val="en"/>
        </w:rPr>
        <w:t xml:space="preserve"> Contingency Theory and Habitus Pierre Bourdieu, who views th</w:t>
      </w:r>
      <w:r w:rsidR="00444D12">
        <w:rPr>
          <w:color w:val="000000" w:themeColor="text1"/>
          <w:szCs w:val="24"/>
          <w:lang w:val="en"/>
        </w:rPr>
        <w:t>at budgeting practices during</w:t>
      </w:r>
      <w:r w:rsidR="00620508" w:rsidRPr="007175C5">
        <w:rPr>
          <w:color w:val="000000" w:themeColor="text1"/>
          <w:szCs w:val="24"/>
          <w:lang w:val="en"/>
        </w:rPr>
        <w:t xml:space="preserve"> ec</w:t>
      </w:r>
      <w:r w:rsidR="00444D12">
        <w:rPr>
          <w:color w:val="000000" w:themeColor="text1"/>
          <w:szCs w:val="24"/>
          <w:lang w:val="en"/>
        </w:rPr>
        <w:t>onomic pressure can change budget orientation</w:t>
      </w:r>
      <w:r w:rsidR="00620508" w:rsidRPr="007175C5">
        <w:rPr>
          <w:color w:val="000000" w:themeColor="text1"/>
          <w:szCs w:val="24"/>
          <w:lang w:val="en"/>
        </w:rPr>
        <w:t xml:space="preserve"> according to the cond</w:t>
      </w:r>
      <w:r w:rsidR="00444D12">
        <w:rPr>
          <w:color w:val="000000" w:themeColor="text1"/>
          <w:szCs w:val="24"/>
          <w:lang w:val="en"/>
        </w:rPr>
        <w:t>itions faced by the regions, Local Revenue</w:t>
      </w:r>
      <w:r w:rsidR="00620508" w:rsidRPr="007175C5">
        <w:rPr>
          <w:color w:val="000000" w:themeColor="text1"/>
          <w:szCs w:val="24"/>
          <w:lang w:val="en"/>
        </w:rPr>
        <w:t xml:space="preserve"> will be able to have a positive impact on Capital Expenditure if stakeholders in the </w:t>
      </w:r>
      <w:r w:rsidR="00620508" w:rsidRPr="007175C5">
        <w:rPr>
          <w:color w:val="000000" w:themeColor="text1"/>
          <w:szCs w:val="24"/>
          <w:lang w:val="en"/>
        </w:rPr>
        <w:lastRenderedPageBreak/>
        <w:t>regions are able to implement performance-based budgeting, taking into account the allocation in terms of budget productivity (</w:t>
      </w:r>
      <w:r w:rsidR="00976CA9" w:rsidRPr="007175C5">
        <w:rPr>
          <w:i/>
          <w:color w:val="000000" w:themeColor="text1"/>
          <w:szCs w:val="24"/>
          <w:lang w:val="en"/>
        </w:rPr>
        <w:t>Andrew, et.al.</w:t>
      </w:r>
      <w:r w:rsidR="00620508">
        <w:rPr>
          <w:lang w:val="en"/>
        </w:rPr>
        <w:t xml:space="preserve"> </w:t>
      </w:r>
      <w:r w:rsidR="00976CA9" w:rsidRPr="007175C5">
        <w:rPr>
          <w:color w:val="000000" w:themeColor="text1"/>
          <w:szCs w:val="24"/>
          <w:lang w:val="en"/>
        </w:rPr>
        <w:t xml:space="preserve"> 2020).</w:t>
      </w:r>
    </w:p>
    <w:p w14:paraId="70A77FB1" w14:textId="24B8CE9D" w:rsidR="00620508" w:rsidRPr="007175C5" w:rsidRDefault="002B0B0D" w:rsidP="0092153F">
      <w:pPr>
        <w:jc w:val="both"/>
        <w:rPr>
          <w:i/>
          <w:iCs/>
          <w:color w:val="000000" w:themeColor="text1"/>
          <w:szCs w:val="24"/>
        </w:rPr>
      </w:pPr>
      <w:r w:rsidRPr="007175C5">
        <w:rPr>
          <w:i/>
          <w:iCs/>
          <w:color w:val="000000" w:themeColor="text1"/>
          <w:szCs w:val="24"/>
          <w:lang w:val="en"/>
        </w:rPr>
        <w:t>H</w:t>
      </w:r>
      <w:r w:rsidRPr="007175C5">
        <w:rPr>
          <w:i/>
          <w:iCs/>
          <w:color w:val="000000" w:themeColor="text1"/>
          <w:szCs w:val="24"/>
          <w:vertAlign w:val="subscript"/>
          <w:lang w:val="en"/>
        </w:rPr>
        <w:t>1</w:t>
      </w:r>
      <w:r w:rsidRPr="007175C5">
        <w:rPr>
          <w:i/>
          <w:iCs/>
          <w:color w:val="000000" w:themeColor="text1"/>
          <w:szCs w:val="24"/>
          <w:lang w:val="en"/>
        </w:rPr>
        <w:t xml:space="preserve"> : Local Revenue Positively Affects Capital Expenditure</w:t>
      </w:r>
    </w:p>
    <w:p w14:paraId="60DB1036" w14:textId="77777777" w:rsidR="00672202" w:rsidRPr="007175C5" w:rsidRDefault="00672202" w:rsidP="0092153F">
      <w:pPr>
        <w:jc w:val="both"/>
        <w:rPr>
          <w:i/>
          <w:iCs/>
          <w:color w:val="000000" w:themeColor="text1"/>
          <w:szCs w:val="24"/>
        </w:rPr>
      </w:pPr>
    </w:p>
    <w:p w14:paraId="30ABCDF5" w14:textId="5478F950" w:rsidR="00620508" w:rsidRPr="0092153F" w:rsidRDefault="00371BB5" w:rsidP="0092153F">
      <w:pPr>
        <w:pStyle w:val="ListParagraph"/>
        <w:numPr>
          <w:ilvl w:val="0"/>
          <w:numId w:val="9"/>
        </w:numPr>
        <w:jc w:val="both"/>
        <w:rPr>
          <w:szCs w:val="24"/>
        </w:rPr>
      </w:pPr>
      <w:r>
        <w:rPr>
          <w:color w:val="000000" w:themeColor="text1"/>
          <w:szCs w:val="24"/>
          <w:lang w:val="en"/>
        </w:rPr>
        <w:t>The Effect of Local Revenue</w:t>
      </w:r>
      <w:r w:rsidR="00620508" w:rsidRPr="007175C5">
        <w:rPr>
          <w:color w:val="000000" w:themeColor="text1"/>
          <w:szCs w:val="24"/>
          <w:lang w:val="en"/>
        </w:rPr>
        <w:t xml:space="preserve"> on </w:t>
      </w:r>
      <w:r w:rsidR="00620508" w:rsidRPr="0092153F">
        <w:rPr>
          <w:szCs w:val="24"/>
          <w:lang w:val="en"/>
        </w:rPr>
        <w:t>Infrastructure Financing</w:t>
      </w:r>
    </w:p>
    <w:p w14:paraId="31894BBE" w14:textId="778F7483" w:rsidR="00620508" w:rsidRPr="0092153F" w:rsidRDefault="00620508" w:rsidP="0092153F">
      <w:pPr>
        <w:jc w:val="both"/>
        <w:rPr>
          <w:color w:val="FF0000"/>
          <w:szCs w:val="24"/>
        </w:rPr>
      </w:pPr>
      <w:r w:rsidRPr="0092153F">
        <w:rPr>
          <w:szCs w:val="24"/>
          <w:lang w:val="en"/>
        </w:rPr>
        <w:t>Infrastructure Assets are significantly</w:t>
      </w:r>
      <w:r w:rsidR="00995AF3">
        <w:rPr>
          <w:szCs w:val="24"/>
          <w:lang w:val="en"/>
        </w:rPr>
        <w:t xml:space="preserve"> dominant in</w:t>
      </w:r>
      <w:r w:rsidRPr="0092153F">
        <w:rPr>
          <w:szCs w:val="24"/>
          <w:lang w:val="en"/>
        </w:rPr>
        <w:t xml:space="preserve"> government assets. </w:t>
      </w:r>
      <w:r w:rsidR="0063407D">
        <w:rPr>
          <w:szCs w:val="24"/>
          <w:lang w:val="en"/>
        </w:rPr>
        <w:t>According to Contingency,</w:t>
      </w:r>
      <w:r w:rsidRPr="0092153F">
        <w:rPr>
          <w:szCs w:val="24"/>
          <w:lang w:val="en"/>
        </w:rPr>
        <w:t xml:space="preserve"> Local Revenues affects capital expenditures, in which capital expenditures are </w:t>
      </w:r>
      <w:r w:rsidR="00177577">
        <w:rPr>
          <w:szCs w:val="24"/>
          <w:lang w:val="en"/>
        </w:rPr>
        <w:t xml:space="preserve">included </w:t>
      </w:r>
      <w:r w:rsidR="003174D0">
        <w:rPr>
          <w:szCs w:val="24"/>
          <w:lang w:val="en"/>
        </w:rPr>
        <w:t>infrastructure financing. If</w:t>
      </w:r>
      <w:r w:rsidRPr="0092153F">
        <w:rPr>
          <w:szCs w:val="24"/>
          <w:lang w:val="en"/>
        </w:rPr>
        <w:t xml:space="preserve"> the macroeconomic conditions are stable, then the government will allocate a budget in the form of an overpaid </w:t>
      </w:r>
      <w:proofErr w:type="spellStart"/>
      <w:r w:rsidR="00F02475">
        <w:rPr>
          <w:szCs w:val="24"/>
          <w:lang w:val="en"/>
        </w:rPr>
        <w:t>Un</w:t>
      </w:r>
      <w:r w:rsidR="008D7C43">
        <w:rPr>
          <w:szCs w:val="24"/>
          <w:lang w:val="en"/>
        </w:rPr>
        <w:t>suspent</w:t>
      </w:r>
      <w:proofErr w:type="spellEnd"/>
      <w:r w:rsidR="008D7C43">
        <w:rPr>
          <w:szCs w:val="24"/>
          <w:lang w:val="en"/>
        </w:rPr>
        <w:t xml:space="preserve"> Funds or </w:t>
      </w:r>
      <w:r w:rsidR="00F02475">
        <w:rPr>
          <w:szCs w:val="24"/>
          <w:lang w:val="en"/>
        </w:rPr>
        <w:t>SILPA</w:t>
      </w:r>
      <w:r w:rsidRPr="0092153F">
        <w:rPr>
          <w:szCs w:val="24"/>
          <w:lang w:val="en"/>
        </w:rPr>
        <w:t xml:space="preserve"> which is stored in the form of a reserve fund, and one day it can be used for infrastructure financing to sup</w:t>
      </w:r>
      <w:r w:rsidR="0073251A">
        <w:rPr>
          <w:szCs w:val="24"/>
          <w:lang w:val="en"/>
        </w:rPr>
        <w:t>port infrastructure, for resulting productive programs</w:t>
      </w:r>
      <w:r w:rsidRPr="0092153F">
        <w:rPr>
          <w:szCs w:val="24"/>
          <w:lang w:val="en"/>
        </w:rPr>
        <w:t>. This is in line with the Theory of Contingencies and Habitus, which states that the budget is a response of budget policymakers to the economic situation they face.  If local governments are able to maintain budget resilience by ma</w:t>
      </w:r>
      <w:r w:rsidR="003D1991">
        <w:rPr>
          <w:szCs w:val="24"/>
          <w:lang w:val="en"/>
        </w:rPr>
        <w:t>intaining the stability of SILPA</w:t>
      </w:r>
      <w:r w:rsidRPr="0092153F">
        <w:rPr>
          <w:szCs w:val="24"/>
          <w:lang w:val="en"/>
        </w:rPr>
        <w:t xml:space="preserve"> overpayments in the period before e</w:t>
      </w:r>
      <w:r w:rsidR="003D1991">
        <w:rPr>
          <w:szCs w:val="24"/>
          <w:lang w:val="en"/>
        </w:rPr>
        <w:t>conomic pressures, then when local government flows during</w:t>
      </w:r>
      <w:r w:rsidRPr="0092153F">
        <w:rPr>
          <w:szCs w:val="24"/>
          <w:lang w:val="en"/>
        </w:rPr>
        <w:t xml:space="preserve"> economic pressure decrease, infrastructure financing will still be ab</w:t>
      </w:r>
      <w:r w:rsidR="003D1991">
        <w:rPr>
          <w:szCs w:val="24"/>
          <w:lang w:val="en"/>
        </w:rPr>
        <w:t>le to continue, relying on SILPA</w:t>
      </w:r>
      <w:r w:rsidRPr="0092153F">
        <w:rPr>
          <w:szCs w:val="24"/>
          <w:lang w:val="en"/>
        </w:rPr>
        <w:t xml:space="preserve"> funds in the previous year (</w:t>
      </w:r>
      <w:proofErr w:type="spellStart"/>
      <w:r w:rsidRPr="0092153F">
        <w:rPr>
          <w:szCs w:val="24"/>
          <w:lang w:val="en"/>
        </w:rPr>
        <w:t>Ozili</w:t>
      </w:r>
      <w:proofErr w:type="spellEnd"/>
      <w:r w:rsidRPr="0092153F">
        <w:rPr>
          <w:szCs w:val="24"/>
          <w:lang w:val="en"/>
        </w:rPr>
        <w:t xml:space="preserve">, 2020, Andrew et.al, 2020). Research conducted by </w:t>
      </w:r>
      <w:proofErr w:type="spellStart"/>
      <w:r w:rsidRPr="0092153F">
        <w:rPr>
          <w:szCs w:val="24"/>
          <w:lang w:val="en"/>
        </w:rPr>
        <w:t>Setyowati</w:t>
      </w:r>
      <w:proofErr w:type="spellEnd"/>
      <w:r w:rsidRPr="0092153F">
        <w:rPr>
          <w:szCs w:val="24"/>
          <w:lang w:val="en"/>
        </w:rPr>
        <w:t xml:space="preserve"> and </w:t>
      </w:r>
      <w:proofErr w:type="spellStart"/>
      <w:r w:rsidR="003D1991">
        <w:rPr>
          <w:szCs w:val="24"/>
          <w:lang w:val="en"/>
        </w:rPr>
        <w:t>Himawan</w:t>
      </w:r>
      <w:proofErr w:type="spellEnd"/>
      <w:r w:rsidR="003D1991">
        <w:rPr>
          <w:szCs w:val="24"/>
          <w:lang w:val="en"/>
        </w:rPr>
        <w:t xml:space="preserve"> in 2021 stated that Local Revenue</w:t>
      </w:r>
      <w:r w:rsidRPr="0092153F">
        <w:rPr>
          <w:szCs w:val="24"/>
          <w:lang w:val="en"/>
        </w:rPr>
        <w:t xml:space="preserve"> has a positive effect on short-term infrastructure. </w:t>
      </w:r>
      <w:bookmarkStart w:id="3" w:name="_Hlk118123230"/>
    </w:p>
    <w:bookmarkEnd w:id="3"/>
    <w:p w14:paraId="34BE487F" w14:textId="7672F50B" w:rsidR="002B0B0D" w:rsidRPr="0092153F" w:rsidRDefault="002B0B0D" w:rsidP="0092153F">
      <w:pPr>
        <w:jc w:val="both"/>
        <w:rPr>
          <w:i/>
          <w:iCs/>
          <w:szCs w:val="24"/>
        </w:rPr>
      </w:pPr>
      <w:r w:rsidRPr="0092153F">
        <w:rPr>
          <w:i/>
          <w:iCs/>
          <w:szCs w:val="24"/>
          <w:lang w:val="en"/>
        </w:rPr>
        <w:t>H</w:t>
      </w:r>
      <w:r w:rsidRPr="0092153F">
        <w:rPr>
          <w:i/>
          <w:iCs/>
          <w:szCs w:val="24"/>
          <w:vertAlign w:val="subscript"/>
          <w:lang w:val="en"/>
        </w:rPr>
        <w:t>2</w:t>
      </w:r>
      <w:r w:rsidR="00995AF3">
        <w:rPr>
          <w:i/>
          <w:iCs/>
          <w:szCs w:val="24"/>
          <w:lang w:val="en"/>
        </w:rPr>
        <w:t xml:space="preserve"> : Local Revenue</w:t>
      </w:r>
      <w:r w:rsidRPr="0092153F">
        <w:rPr>
          <w:i/>
          <w:iCs/>
          <w:szCs w:val="24"/>
          <w:lang w:val="en"/>
        </w:rPr>
        <w:t xml:space="preserve"> positively affects infrastructure in the short term</w:t>
      </w:r>
    </w:p>
    <w:p w14:paraId="44A8932B" w14:textId="77777777" w:rsidR="00672202" w:rsidRPr="0092153F" w:rsidRDefault="00672202" w:rsidP="0092153F">
      <w:pPr>
        <w:jc w:val="both"/>
        <w:rPr>
          <w:i/>
          <w:iCs/>
          <w:szCs w:val="24"/>
        </w:rPr>
      </w:pPr>
    </w:p>
    <w:p w14:paraId="5EC5D916" w14:textId="60B01123" w:rsidR="002B0B0D" w:rsidRPr="0092153F" w:rsidRDefault="00266CB0" w:rsidP="0092153F">
      <w:pPr>
        <w:pStyle w:val="ListParagraph"/>
        <w:numPr>
          <w:ilvl w:val="0"/>
          <w:numId w:val="9"/>
        </w:numPr>
        <w:jc w:val="both"/>
        <w:rPr>
          <w:szCs w:val="24"/>
        </w:rPr>
      </w:pPr>
      <w:r>
        <w:rPr>
          <w:szCs w:val="24"/>
          <w:lang w:val="en"/>
        </w:rPr>
        <w:t xml:space="preserve">The Effect of Local Revenue </w:t>
      </w:r>
      <w:r w:rsidR="002B0B0D" w:rsidRPr="0092153F">
        <w:rPr>
          <w:szCs w:val="24"/>
          <w:lang w:val="en"/>
        </w:rPr>
        <w:t>on Accountability Performance</w:t>
      </w:r>
    </w:p>
    <w:p w14:paraId="6A4F8C94" w14:textId="65AD2830" w:rsidR="002B0B0D" w:rsidRPr="007175C5" w:rsidRDefault="002B0B0D" w:rsidP="0092153F">
      <w:pPr>
        <w:jc w:val="both"/>
        <w:rPr>
          <w:szCs w:val="24"/>
          <w:lang w:val="en-ID"/>
        </w:rPr>
      </w:pPr>
      <w:r w:rsidRPr="0092153F">
        <w:rPr>
          <w:szCs w:val="24"/>
          <w:lang w:val="en"/>
        </w:rPr>
        <w:t>Local Revenue has an important role for a region to meet its ne</w:t>
      </w:r>
      <w:r w:rsidR="00266CB0">
        <w:rPr>
          <w:szCs w:val="24"/>
          <w:lang w:val="en"/>
        </w:rPr>
        <w:t xml:space="preserve">eds.  The more the </w:t>
      </w:r>
      <w:proofErr w:type="spellStart"/>
      <w:r w:rsidR="00266CB0">
        <w:rPr>
          <w:szCs w:val="24"/>
          <w:lang w:val="en"/>
        </w:rPr>
        <w:t>ammount</w:t>
      </w:r>
      <w:proofErr w:type="spellEnd"/>
      <w:r w:rsidR="00266CB0">
        <w:rPr>
          <w:szCs w:val="24"/>
          <w:lang w:val="en"/>
        </w:rPr>
        <w:t xml:space="preserve"> of Local Revenue </w:t>
      </w:r>
      <w:proofErr w:type="spellStart"/>
      <w:r w:rsidR="00266CB0">
        <w:rPr>
          <w:szCs w:val="24"/>
          <w:lang w:val="en"/>
        </w:rPr>
        <w:t>increases,will</w:t>
      </w:r>
      <w:proofErr w:type="spellEnd"/>
      <w:r w:rsidR="00266CB0">
        <w:rPr>
          <w:szCs w:val="24"/>
          <w:lang w:val="en"/>
        </w:rPr>
        <w:t xml:space="preserve"> produce the better local government welfare realization. Local Revenue</w:t>
      </w:r>
      <w:r w:rsidRPr="0092153F">
        <w:rPr>
          <w:szCs w:val="24"/>
          <w:lang w:val="en"/>
        </w:rPr>
        <w:t xml:space="preserve"> also has an important role in </w:t>
      </w:r>
      <w:r w:rsidR="00266CB0">
        <w:rPr>
          <w:szCs w:val="24"/>
          <w:lang w:val="en"/>
        </w:rPr>
        <w:t xml:space="preserve">total </w:t>
      </w:r>
      <w:r w:rsidRPr="0092153F">
        <w:rPr>
          <w:szCs w:val="24"/>
          <w:lang w:val="en"/>
        </w:rPr>
        <w:t xml:space="preserve">revenue growth so that local governments do not depend on the central government </w:t>
      </w:r>
      <w:r w:rsidRPr="0092153F">
        <w:rPr>
          <w:szCs w:val="24"/>
          <w:lang w:val="en"/>
        </w:rPr>
        <w:fldChar w:fldCharType="begin" w:fldLock="1"/>
      </w:r>
      <w:r w:rsidRPr="0092153F">
        <w:rPr>
          <w:szCs w:val="24"/>
          <w:lang w:val="en"/>
        </w:rPr>
        <w:instrText>ADDIN CSL_CITATION {"citationItems":[{"id":"ITEM-1","itemData":{"DOI":"10.24036/jea.v3i1.356","abstract":"This study aims to examine the effect of local revenue, general allocation funds and regional spending on the financial performance of local governments. The sample used in this study were districts / cities of West Sumatra Province with 12 districts and 7 cities in West Sumatra. The data used in this study is the data on the realization of the District / City APBD in West Sumatra Province for the 2015-2018 fiscal year. This research uses descriptive statistical data analysis techniques, classical assumption test, multiple linear regression analysis, hypothesis testing and determination coefficient test. The results showed that the Regional Original Revenue, DAU and Regional Expenditures together had a significant positive effect on Regional Government Financial Performance. The test results are in accordance with the previous theory and hypothesis which states that PAD, DAU and Regional Expenditures have a significant positive effect on the financial performance of local governments.","author":[{"dropping-particle":"","family":"Sari","given":"Berti Indah","non-dropping-particle":"","parse-names":false,"suffix":""},{"dropping-particle":"","family":"Wati","given":"Halma","non-dropping-particle":"","parse-names":false,"suffix":""}],"container-title":"Jurnal Eksplorasi Akuntansi","id":"ITEM-1","issue":"1","issued":{"date-parts":[["2021"]]},"page":"1-11","title":"Pengaruh Pendapatan Asli Daerah, Dana Alokasi Umum dan Belanja Daerah terhadap Kinerja Keuangan Pemerintah Daerah Kabupaten/Kota di Provinsi Sumatera Barat","type":"article-journal","volume":"3"},"uris":["http://www.mendeley.com/documents/?uuid=1785cc25-5bf6-44c8-a3ff-4d9e665389f3"]}],"mendeley":{"formattedCitation":"(Sari &amp; Wati, 2021)","plainTextFormattedCitation":"(Sari &amp; Wati, 2021)","previouslyFormattedCitation":"(Sari &amp; Wati, 2021)"},"properties":{"noteIndex":0},"schema":"https://github.com/citation-style-language/schema/raw/master/csl-citation.json"}</w:instrText>
      </w:r>
      <w:r w:rsidRPr="0092153F">
        <w:rPr>
          <w:szCs w:val="24"/>
          <w:lang w:val="en"/>
        </w:rPr>
        <w:fldChar w:fldCharType="separate"/>
      </w:r>
      <w:r w:rsidRPr="0092153F">
        <w:rPr>
          <w:noProof/>
          <w:szCs w:val="24"/>
          <w:lang w:val="en"/>
        </w:rPr>
        <w:t>(Sari &amp; Wati, 2021).</w:t>
      </w:r>
      <w:r w:rsidRPr="0092153F">
        <w:rPr>
          <w:szCs w:val="24"/>
          <w:lang w:val="en"/>
        </w:rPr>
        <w:fldChar w:fldCharType="end"/>
      </w:r>
      <w:r w:rsidRPr="0092153F">
        <w:rPr>
          <w:szCs w:val="24"/>
          <w:lang w:val="en"/>
        </w:rPr>
        <w:t xml:space="preserve"> Performance Accountability is the final comprehensive assessment of budget implementation from various aspects.  In Pierre Bourdieu's Habitus theory</w:t>
      </w:r>
      <w:r w:rsidR="001F5CF9" w:rsidRPr="001F5CF9">
        <w:rPr>
          <w:szCs w:val="24"/>
          <w:lang w:val="en"/>
        </w:rPr>
        <w:t xml:space="preserve"> </w:t>
      </w:r>
      <w:r w:rsidR="001F5CF9">
        <w:rPr>
          <w:szCs w:val="24"/>
          <w:lang w:val="en"/>
        </w:rPr>
        <w:t xml:space="preserve">and </w:t>
      </w:r>
      <w:r w:rsidR="001F5CF9" w:rsidRPr="0092153F">
        <w:rPr>
          <w:szCs w:val="24"/>
          <w:lang w:val="en"/>
        </w:rPr>
        <w:t>Contingency</w:t>
      </w:r>
      <w:r w:rsidR="001F5CF9">
        <w:rPr>
          <w:szCs w:val="24"/>
          <w:lang w:val="en"/>
        </w:rPr>
        <w:t xml:space="preserve"> theory</w:t>
      </w:r>
      <w:r w:rsidRPr="0092153F">
        <w:rPr>
          <w:szCs w:val="24"/>
          <w:lang w:val="en"/>
        </w:rPr>
        <w:t>, the accountability performance of local governments is a description of the budget behavior of budget actors.  The accuracy o</w:t>
      </w:r>
      <w:r w:rsidR="00DA0D40">
        <w:rPr>
          <w:szCs w:val="24"/>
          <w:lang w:val="en"/>
        </w:rPr>
        <w:t xml:space="preserve">f budget allocation in during </w:t>
      </w:r>
      <w:r w:rsidRPr="0092153F">
        <w:rPr>
          <w:szCs w:val="24"/>
          <w:lang w:val="en"/>
        </w:rPr>
        <w:t>economic pressure can be seen from</w:t>
      </w:r>
      <w:r w:rsidR="00DA0D40">
        <w:rPr>
          <w:szCs w:val="24"/>
          <w:lang w:val="en"/>
        </w:rPr>
        <w:t xml:space="preserve"> the</w:t>
      </w:r>
      <w:r w:rsidRPr="0092153F">
        <w:rPr>
          <w:szCs w:val="24"/>
          <w:lang w:val="en"/>
        </w:rPr>
        <w:t xml:space="preserve"> local government accountability</w:t>
      </w:r>
      <w:r w:rsidR="00DA0D40">
        <w:rPr>
          <w:szCs w:val="24"/>
          <w:lang w:val="en"/>
        </w:rPr>
        <w:t xml:space="preserve"> performance achievement</w:t>
      </w:r>
      <w:r w:rsidRPr="0092153F">
        <w:rPr>
          <w:szCs w:val="24"/>
          <w:lang w:val="en"/>
        </w:rPr>
        <w:t>. This</w:t>
      </w:r>
      <w:r w:rsidR="00E22616">
        <w:rPr>
          <w:szCs w:val="24"/>
          <w:lang w:val="en"/>
        </w:rPr>
        <w:t xml:space="preserve"> is included</w:t>
      </w:r>
      <w:r w:rsidRPr="0092153F">
        <w:rPr>
          <w:szCs w:val="24"/>
          <w:lang w:val="en"/>
        </w:rPr>
        <w:t xml:space="preserve"> how the efforts of </w:t>
      </w:r>
      <w:r w:rsidR="001A6839">
        <w:rPr>
          <w:szCs w:val="24"/>
          <w:lang w:val="en"/>
        </w:rPr>
        <w:t>local governments in flowing Local Revenue</w:t>
      </w:r>
      <w:r w:rsidRPr="0092153F">
        <w:rPr>
          <w:szCs w:val="24"/>
          <w:lang w:val="en"/>
        </w:rPr>
        <w:t xml:space="preserve"> </w:t>
      </w:r>
      <w:r w:rsidR="001A6839">
        <w:rPr>
          <w:szCs w:val="24"/>
          <w:lang w:val="en"/>
        </w:rPr>
        <w:t>in</w:t>
      </w:r>
      <w:r w:rsidRPr="0092153F">
        <w:rPr>
          <w:szCs w:val="24"/>
          <w:lang w:val="en"/>
        </w:rPr>
        <w:t>to various sources of expenditure and financing effectively and efficiently, so as to be able to produce the set achievement targets, this is what will be able to improve the performanc</w:t>
      </w:r>
      <w:r w:rsidR="00935F79">
        <w:rPr>
          <w:szCs w:val="24"/>
          <w:lang w:val="en"/>
        </w:rPr>
        <w:t xml:space="preserve">e of accountability during </w:t>
      </w:r>
      <w:r w:rsidRPr="0092153F">
        <w:rPr>
          <w:szCs w:val="24"/>
          <w:lang w:val="en"/>
        </w:rPr>
        <w:t>eco</w:t>
      </w:r>
      <w:r w:rsidR="00935F79">
        <w:rPr>
          <w:szCs w:val="24"/>
          <w:lang w:val="en"/>
        </w:rPr>
        <w:t>nomic pressure.  According to the</w:t>
      </w:r>
      <w:r w:rsidRPr="0092153F">
        <w:rPr>
          <w:szCs w:val="24"/>
          <w:lang w:val="en"/>
        </w:rPr>
        <w:t xml:space="preserve"> condition that all existing spending and financing is carried out with measurable planning (Andrew </w:t>
      </w:r>
      <w:r w:rsidR="007F1E28" w:rsidRPr="0092153F">
        <w:rPr>
          <w:i/>
          <w:szCs w:val="24"/>
          <w:lang w:val="en"/>
        </w:rPr>
        <w:t>et.al.</w:t>
      </w:r>
      <w:r>
        <w:rPr>
          <w:lang w:val="en"/>
        </w:rPr>
        <w:t xml:space="preserve"> ,2020, </w:t>
      </w:r>
      <w:r w:rsidR="007F1E28" w:rsidRPr="0092153F">
        <w:rPr>
          <w:szCs w:val="24"/>
          <w:lang w:val="en"/>
        </w:rPr>
        <w:t xml:space="preserve">and </w:t>
      </w:r>
      <w:proofErr w:type="spellStart"/>
      <w:r w:rsidR="007F1E28" w:rsidRPr="0092153F">
        <w:rPr>
          <w:szCs w:val="24"/>
          <w:lang w:val="en"/>
        </w:rPr>
        <w:t>Churistine</w:t>
      </w:r>
      <w:proofErr w:type="spellEnd"/>
      <w:r w:rsidR="007F1E28" w:rsidRPr="0092153F">
        <w:rPr>
          <w:szCs w:val="24"/>
          <w:lang w:val="en"/>
        </w:rPr>
        <w:t>, 2020).  In the 20</w:t>
      </w:r>
      <w:r w:rsidR="005B41C0">
        <w:rPr>
          <w:szCs w:val="24"/>
          <w:lang w:val="en"/>
        </w:rPr>
        <w:t xml:space="preserve">21 Sari &amp; </w:t>
      </w:r>
      <w:proofErr w:type="spellStart"/>
      <w:r w:rsidR="005B41C0">
        <w:rPr>
          <w:szCs w:val="24"/>
          <w:lang w:val="en"/>
        </w:rPr>
        <w:t>Wati</w:t>
      </w:r>
      <w:proofErr w:type="spellEnd"/>
      <w:r w:rsidR="005B41C0">
        <w:rPr>
          <w:szCs w:val="24"/>
          <w:lang w:val="en"/>
        </w:rPr>
        <w:t xml:space="preserve"> </w:t>
      </w:r>
      <w:r w:rsidR="007F1E28" w:rsidRPr="0092153F">
        <w:rPr>
          <w:szCs w:val="24"/>
          <w:lang w:val="en"/>
        </w:rPr>
        <w:t>st</w:t>
      </w:r>
      <w:r w:rsidR="00EB23CD">
        <w:rPr>
          <w:szCs w:val="24"/>
          <w:lang w:val="en"/>
        </w:rPr>
        <w:t>ated that Local Revenue</w:t>
      </w:r>
      <w:r w:rsidR="007F1E28" w:rsidRPr="0092153F">
        <w:rPr>
          <w:szCs w:val="24"/>
          <w:lang w:val="en"/>
        </w:rPr>
        <w:t xml:space="preserve"> has a positive influence on accountability performance. The research conducted (</w:t>
      </w:r>
      <w:proofErr w:type="spellStart"/>
      <w:r w:rsidR="007F1E28" w:rsidRPr="0092153F">
        <w:rPr>
          <w:szCs w:val="24"/>
          <w:lang w:val="en"/>
        </w:rPr>
        <w:t>Maulina</w:t>
      </w:r>
      <w:proofErr w:type="spellEnd"/>
      <w:r w:rsidR="007F1E28" w:rsidRPr="0092153F">
        <w:rPr>
          <w:szCs w:val="24"/>
          <w:lang w:val="en"/>
        </w:rPr>
        <w:t xml:space="preserve"> et</w:t>
      </w:r>
      <w:r w:rsidR="00EB23CD">
        <w:rPr>
          <w:szCs w:val="24"/>
          <w:lang w:val="en"/>
        </w:rPr>
        <w:t xml:space="preserve"> al., 2021) also stated that Local Revenue</w:t>
      </w:r>
      <w:r w:rsidR="007F1E28" w:rsidRPr="0092153F">
        <w:rPr>
          <w:szCs w:val="24"/>
          <w:lang w:val="en"/>
        </w:rPr>
        <w:t xml:space="preserve"> has a positive influence on accountability performance. </w:t>
      </w:r>
      <w:r w:rsidR="006F2A00" w:rsidRPr="0092153F">
        <w:rPr>
          <w:szCs w:val="24"/>
          <w:lang w:val="en"/>
        </w:rPr>
        <w:fldChar w:fldCharType="begin" w:fldLock="1"/>
      </w:r>
      <w:r w:rsidR="006F2A00" w:rsidRPr="0092153F">
        <w:rPr>
          <w:szCs w:val="24"/>
          <w:lang w:val="en"/>
        </w:rPr>
        <w:instrText>ADDIN CSL_CITATION {"citationItems":[{"id":"ITEM-1","itemData":{"DOI":"10.52362/jisamar.v5i2","ISBN":"9794562383","abstract":"Otonomi daerah merupakan salah satu bentuk perwujudan dari sistem desentralisasi yang dianut oleh negara Indonesia. Hak otonom yang dimiliki oleh pemerintah daerah membuat pemerintah daerah dapat menggunakan kekuasaan seluas-luasnya untuk memaksimalkan kesejahteraan rakyat. Hak otonom juga tercermin dari daerah yang diberikan wewenang untuk mengelola sendiri keuangannya. Keuangan daerah yang berkualitas baik menjadi suatu tujuan yang harus dicapai yang tentunya membutuhkan pengelolaan keuangan yang baik. Penulis melihat pentingnya kinerja keuangan sebagai bentuk analisis atas pengelolaan keuangan daerah. Dalam penelitian ini penulis menguji faktor-faktor yang memengaruhi kinerja keuangan pemerintah daerah dengan variabel independen, yaitu Pendapatan Asli Daerah, Dana Perimbangan, Belanja Modal, dan Ukuran Pemerintah Daerah. Hasil yang didapat adalah terdapat hubungan positif yang signifikan untuk variabel Pendapatan Asli Daerah dan Dana Perimbangan. Sedangkan, terdapat hubungan positif yang tidak signifikan untuk variabel Belanja Modal dan Ukuran Pemerintah Daerah.","author":[{"dropping-particle":"","family":"Maulina","given":"Afia","non-dropping-particle":"","parse-names":false,"suffix":""},{"dropping-particle":"","family":"Alkamal","given":"Mustafa","non-dropping-particle":"","parse-names":false,"suffix":""},{"dropping-particle":"","family":"Fahira","given":"Nabilla Salsa","non-dropping-particle":"","parse-names":false,"suffix":""}],"container-title":"Journal of Information System, Applied, Management, Accounting and Research","id":"ITEM-1","issue":"2","issued":{"date-parts":[["2021"]]},"page":"390-399","title":"Keuangan Pemerintah Daerah Otonom di Indonesia","type":"article-journal","volume":"5"},"uris":["http://www.mendeley.com/documents/?uuid=aec171f0-134e-43d8-8d02-9f4bb7cd26de"]}],"mendeley":{"formattedCitation":"(Maulina et al., 2021)","plainTextFormattedCitation":"(Maulina et al., 2021)","previouslyFormattedCitation":"(Maulina et al., 2021)"},"properties":{"noteIndex":0},"schema":"https://github.com/citation-style-language/schema/raw/master/csl-citation.json"}</w:instrText>
      </w:r>
      <w:r w:rsidR="006F2A00" w:rsidRPr="0092153F">
        <w:rPr>
          <w:szCs w:val="24"/>
          <w:lang w:val="en"/>
        </w:rPr>
        <w:fldChar w:fldCharType="end"/>
      </w:r>
    </w:p>
    <w:p w14:paraId="0399D8EC" w14:textId="1222A55A" w:rsidR="002B0B0D" w:rsidRPr="0092153F" w:rsidRDefault="002B0B0D" w:rsidP="0092153F">
      <w:pPr>
        <w:jc w:val="both"/>
        <w:rPr>
          <w:i/>
          <w:iCs/>
          <w:szCs w:val="24"/>
        </w:rPr>
      </w:pPr>
      <w:r w:rsidRPr="0092153F">
        <w:rPr>
          <w:i/>
          <w:iCs/>
          <w:szCs w:val="24"/>
          <w:lang w:val="en"/>
        </w:rPr>
        <w:t>H</w:t>
      </w:r>
      <w:r w:rsidRPr="0092153F">
        <w:rPr>
          <w:i/>
          <w:iCs/>
          <w:szCs w:val="24"/>
          <w:vertAlign w:val="subscript"/>
          <w:lang w:val="en"/>
        </w:rPr>
        <w:t>3</w:t>
      </w:r>
      <w:r w:rsidRPr="0092153F">
        <w:rPr>
          <w:i/>
          <w:iCs/>
          <w:szCs w:val="24"/>
          <w:lang w:val="en"/>
        </w:rPr>
        <w:t>: Local Revenue positively affects Accountability Performance</w:t>
      </w:r>
    </w:p>
    <w:p w14:paraId="562E212C" w14:textId="77777777" w:rsidR="00672202" w:rsidRPr="0092153F" w:rsidRDefault="00672202" w:rsidP="0092153F">
      <w:pPr>
        <w:jc w:val="both"/>
        <w:rPr>
          <w:szCs w:val="24"/>
        </w:rPr>
      </w:pPr>
    </w:p>
    <w:p w14:paraId="70A41907" w14:textId="2CF03A7B" w:rsidR="002B0B0D" w:rsidRPr="0092153F" w:rsidRDefault="00EB23CD" w:rsidP="0092153F">
      <w:pPr>
        <w:pStyle w:val="ListParagraph"/>
        <w:numPr>
          <w:ilvl w:val="0"/>
          <w:numId w:val="9"/>
        </w:numPr>
        <w:jc w:val="both"/>
        <w:rPr>
          <w:szCs w:val="24"/>
        </w:rPr>
      </w:pPr>
      <w:r>
        <w:rPr>
          <w:szCs w:val="24"/>
          <w:lang w:val="en"/>
        </w:rPr>
        <w:t>Effect of Local Revenue</w:t>
      </w:r>
      <w:r w:rsidR="00BE4F4D">
        <w:rPr>
          <w:szCs w:val="24"/>
          <w:lang w:val="en"/>
        </w:rPr>
        <w:t xml:space="preserve"> on Budget Refocusing</w:t>
      </w:r>
    </w:p>
    <w:p w14:paraId="146CC1FC" w14:textId="382A11A2" w:rsidR="0023341C" w:rsidRPr="007175C5" w:rsidRDefault="0023341C" w:rsidP="0092153F">
      <w:pPr>
        <w:jc w:val="both"/>
        <w:rPr>
          <w:rFonts w:eastAsiaTheme="minorHAnsi"/>
          <w:szCs w:val="24"/>
          <w:lang w:val="en-ID"/>
        </w:rPr>
      </w:pPr>
      <w:r w:rsidRPr="0092153F">
        <w:rPr>
          <w:szCs w:val="24"/>
          <w:lang w:val="en"/>
        </w:rPr>
        <w:t>Loca</w:t>
      </w:r>
      <w:r w:rsidR="00795D83">
        <w:rPr>
          <w:szCs w:val="24"/>
          <w:lang w:val="en"/>
        </w:rPr>
        <w:t>l Revenue comes from the income</w:t>
      </w:r>
      <w:r w:rsidRPr="0092153F">
        <w:rPr>
          <w:szCs w:val="24"/>
          <w:lang w:val="en"/>
        </w:rPr>
        <w:t xml:space="preserve"> of various sources within their respective regions which are taken based on </w:t>
      </w:r>
      <w:r w:rsidR="003B1BFA">
        <w:rPr>
          <w:szCs w:val="24"/>
          <w:lang w:val="en"/>
        </w:rPr>
        <w:t>local</w:t>
      </w:r>
      <w:r w:rsidRPr="0092153F">
        <w:rPr>
          <w:szCs w:val="24"/>
          <w:lang w:val="en"/>
        </w:rPr>
        <w:t xml:space="preserve"> regulations and </w:t>
      </w:r>
      <w:r w:rsidR="00AF69B0">
        <w:rPr>
          <w:szCs w:val="24"/>
          <w:lang w:val="en"/>
        </w:rPr>
        <w:t>complies</w:t>
      </w:r>
      <w:r w:rsidRPr="0092153F">
        <w:rPr>
          <w:szCs w:val="24"/>
          <w:lang w:val="en"/>
        </w:rPr>
        <w:t xml:space="preserve"> with applicabl</w:t>
      </w:r>
      <w:r w:rsidR="00BE4F4D">
        <w:rPr>
          <w:szCs w:val="24"/>
          <w:lang w:val="en"/>
        </w:rPr>
        <w:t xml:space="preserve">e laws and regulations. The Local Government budget refocusing </w:t>
      </w:r>
      <w:r w:rsidRPr="0092153F">
        <w:rPr>
          <w:szCs w:val="24"/>
          <w:lang w:val="en"/>
        </w:rPr>
        <w:t xml:space="preserve">is an adjustment to the predetermined target but must be refocused for one reason or another </w:t>
      </w:r>
      <w:r w:rsidRPr="0092153F">
        <w:rPr>
          <w:szCs w:val="24"/>
          <w:lang w:val="en"/>
        </w:rPr>
        <w:fldChar w:fldCharType="begin" w:fldLock="1"/>
      </w:r>
      <w:r w:rsidRPr="0092153F">
        <w:rPr>
          <w:szCs w:val="24"/>
          <w:lang w:val="en"/>
        </w:rPr>
        <w:instrText>ADDIN CSL_CITATION {"citationItems":[{"id":"ITEM-1","itemData":{"author":[{"dropping-particle":"","family":"Nelliyanti","given":"dkk (2016)","non-dropping-particle":"","parse-names":false,"suffix":""}],"id":"ITEM-1","issue":"2","issued":{"date-parts":[["2016"]]},"page":"68-78","title":"BELANJA TIDAK LANGSUNG ( Studi Pada Pemerintah Kabupaten / Kota Di Aceh )","type":"article-journal","volume":"5"},"uris":["http://www.mendeley.com/documents/?uuid=6045fb90-5abf-419f-b824-a44861668b4d"]}],"mendeley":{"formattedCitation":"(Nelliyanti, 2016)","plainTextFormattedCitation":"(Nelliyanti, 2016)","previouslyFormattedCitation":"(Nelliyanti, 2016)"},"properties":{"noteIndex":0},"schema":"https://github.com/citation-style-language/schema/raw/master/csl-citation.json"}</w:instrText>
      </w:r>
      <w:r w:rsidRPr="0092153F">
        <w:rPr>
          <w:szCs w:val="24"/>
          <w:lang w:val="en"/>
        </w:rPr>
        <w:fldChar w:fldCharType="separate"/>
      </w:r>
      <w:r w:rsidRPr="0092153F">
        <w:rPr>
          <w:noProof/>
          <w:szCs w:val="24"/>
          <w:lang w:val="en"/>
        </w:rPr>
        <w:t>(Nelliyanti, 2016)</w:t>
      </w:r>
      <w:r w:rsidRPr="0092153F">
        <w:rPr>
          <w:szCs w:val="24"/>
          <w:lang w:val="en"/>
        </w:rPr>
        <w:fldChar w:fldCharType="end"/>
      </w:r>
      <w:r w:rsidRPr="0092153F">
        <w:rPr>
          <w:szCs w:val="24"/>
          <w:lang w:val="en"/>
        </w:rPr>
        <w:t>. In t</w:t>
      </w:r>
      <w:r w:rsidR="00BE4F4D">
        <w:rPr>
          <w:szCs w:val="24"/>
          <w:lang w:val="en"/>
        </w:rPr>
        <w:t>his case, Local Revenue is very important for  regions, if the Local Revenue</w:t>
      </w:r>
      <w:r w:rsidRPr="0092153F">
        <w:rPr>
          <w:szCs w:val="24"/>
          <w:lang w:val="en"/>
        </w:rPr>
        <w:t xml:space="preserve"> is high, the local government can set aside a part of the income to </w:t>
      </w:r>
      <w:r w:rsidRPr="0092153F">
        <w:rPr>
          <w:szCs w:val="24"/>
          <w:lang w:val="en"/>
        </w:rPr>
        <w:lastRenderedPageBreak/>
        <w:t>be stored as a reserve fund, which at any time when conditions are urgent can be used to increase financing or expenditure in certain sectors (</w:t>
      </w:r>
      <w:proofErr w:type="spellStart"/>
      <w:r w:rsidRPr="0092153F">
        <w:rPr>
          <w:szCs w:val="24"/>
          <w:lang w:val="en"/>
        </w:rPr>
        <w:t>Andrew,et</w:t>
      </w:r>
      <w:proofErr w:type="spellEnd"/>
      <w:r w:rsidR="009C1B1E" w:rsidRPr="0092153F">
        <w:rPr>
          <w:i/>
          <w:szCs w:val="24"/>
          <w:lang w:val="en"/>
        </w:rPr>
        <w:t>.</w:t>
      </w:r>
      <w:r>
        <w:rPr>
          <w:lang w:val="en"/>
        </w:rPr>
        <w:t xml:space="preserve"> </w:t>
      </w:r>
      <w:r w:rsidR="009C1B1E" w:rsidRPr="0092153F">
        <w:rPr>
          <w:szCs w:val="24"/>
          <w:lang w:val="en"/>
        </w:rPr>
        <w:t xml:space="preserve"> al,2020).  The form</w:t>
      </w:r>
      <w:r w:rsidR="00BE4F4D">
        <w:rPr>
          <w:szCs w:val="24"/>
          <w:lang w:val="en"/>
        </w:rPr>
        <w:t xml:space="preserve"> of budget changes can be into </w:t>
      </w:r>
      <w:proofErr w:type="spellStart"/>
      <w:r w:rsidR="00BE4F4D">
        <w:rPr>
          <w:szCs w:val="24"/>
          <w:lang w:val="en"/>
        </w:rPr>
        <w:t>manys</w:t>
      </w:r>
      <w:proofErr w:type="spellEnd"/>
      <w:r w:rsidR="00BE4F4D">
        <w:rPr>
          <w:szCs w:val="24"/>
          <w:lang w:val="en"/>
        </w:rPr>
        <w:t xml:space="preserve"> form such as </w:t>
      </w:r>
      <w:r w:rsidR="009C1B1E" w:rsidRPr="0092153F">
        <w:rPr>
          <w:szCs w:val="24"/>
          <w:lang w:val="en"/>
        </w:rPr>
        <w:t>adding financing to all expenditure items or diverting part of the allocation of expenditure and financing in one sector that is considered to be delayed implementation to sectors that are urgent to be funded</w:t>
      </w:r>
      <w:r w:rsidR="00B35D8C">
        <w:rPr>
          <w:szCs w:val="24"/>
          <w:lang w:val="en"/>
        </w:rPr>
        <w:t xml:space="preserve"> immediately. The higher Revenue will be potential for sifting a big </w:t>
      </w:r>
      <w:proofErr w:type="spellStart"/>
      <w:r w:rsidR="00B35D8C">
        <w:rPr>
          <w:szCs w:val="24"/>
          <w:lang w:val="en"/>
        </w:rPr>
        <w:t>ammount</w:t>
      </w:r>
      <w:proofErr w:type="spellEnd"/>
      <w:r w:rsidR="00B35D8C">
        <w:rPr>
          <w:szCs w:val="24"/>
          <w:lang w:val="en"/>
        </w:rPr>
        <w:t xml:space="preserve"> of </w:t>
      </w:r>
      <w:r w:rsidR="009C1B1E" w:rsidRPr="0092153F">
        <w:rPr>
          <w:szCs w:val="24"/>
          <w:lang w:val="en"/>
        </w:rPr>
        <w:t xml:space="preserve">budget for refocusing. </w:t>
      </w:r>
      <w:r w:rsidR="001C213C">
        <w:rPr>
          <w:szCs w:val="24"/>
          <w:lang w:val="en"/>
        </w:rPr>
        <w:t>According to</w:t>
      </w:r>
      <w:r w:rsidR="009C1B1E" w:rsidRPr="0092153F">
        <w:rPr>
          <w:szCs w:val="24"/>
          <w:lang w:val="en"/>
        </w:rPr>
        <w:t xml:space="preserve"> the 2021 </w:t>
      </w:r>
      <w:proofErr w:type="spellStart"/>
      <w:r w:rsidR="005128B4">
        <w:rPr>
          <w:szCs w:val="24"/>
          <w:lang w:val="en"/>
        </w:rPr>
        <w:t>Khatulistiwa</w:t>
      </w:r>
      <w:proofErr w:type="spellEnd"/>
      <w:r w:rsidR="001C213C">
        <w:rPr>
          <w:szCs w:val="24"/>
          <w:lang w:val="en"/>
        </w:rPr>
        <w:t xml:space="preserve"> research, Budget Refocusing was</w:t>
      </w:r>
      <w:r w:rsidR="009C1B1E" w:rsidRPr="0092153F">
        <w:rPr>
          <w:szCs w:val="24"/>
          <w:lang w:val="en"/>
        </w:rPr>
        <w:t xml:space="preserve"> affect</w:t>
      </w:r>
      <w:r w:rsidR="001C213C">
        <w:rPr>
          <w:szCs w:val="24"/>
          <w:lang w:val="en"/>
        </w:rPr>
        <w:t>ed by Local</w:t>
      </w:r>
      <w:r w:rsidR="009C1B1E" w:rsidRPr="0092153F">
        <w:rPr>
          <w:szCs w:val="24"/>
          <w:lang w:val="en"/>
        </w:rPr>
        <w:t xml:space="preserve"> Revenues.  According to </w:t>
      </w:r>
      <w:proofErr w:type="spellStart"/>
      <w:r w:rsidR="009C1B1E" w:rsidRPr="0092153F">
        <w:rPr>
          <w:szCs w:val="24"/>
          <w:lang w:val="en"/>
        </w:rPr>
        <w:t>Bahri</w:t>
      </w:r>
      <w:proofErr w:type="spellEnd"/>
      <w:r w:rsidR="009C1B1E" w:rsidRPr="0092153F">
        <w:rPr>
          <w:szCs w:val="24"/>
          <w:lang w:val="en"/>
        </w:rPr>
        <w:t>, et al in 202</w:t>
      </w:r>
      <w:r w:rsidR="001C213C">
        <w:rPr>
          <w:szCs w:val="24"/>
          <w:lang w:val="en"/>
        </w:rPr>
        <w:t>0 stated that the budget refocusing</w:t>
      </w:r>
      <w:r w:rsidR="009C1B1E" w:rsidRPr="0092153F">
        <w:rPr>
          <w:szCs w:val="24"/>
          <w:lang w:val="en"/>
        </w:rPr>
        <w:t xml:space="preserve"> due to covid 19 had</w:t>
      </w:r>
      <w:r w:rsidR="001C213C">
        <w:rPr>
          <w:szCs w:val="24"/>
          <w:lang w:val="en"/>
        </w:rPr>
        <w:t xml:space="preserve"> an impact on Local </w:t>
      </w:r>
      <w:r w:rsidR="009C1B1E" w:rsidRPr="0092153F">
        <w:rPr>
          <w:szCs w:val="24"/>
          <w:lang w:val="en"/>
        </w:rPr>
        <w:t>Revenues, especially the realization of the R</w:t>
      </w:r>
      <w:r w:rsidR="00460D67">
        <w:rPr>
          <w:szCs w:val="24"/>
          <w:lang w:val="en"/>
        </w:rPr>
        <w:t>egional Budget</w:t>
      </w:r>
      <w:r w:rsidR="009C1B1E" w:rsidRPr="0092153F">
        <w:rPr>
          <w:szCs w:val="24"/>
          <w:lang w:val="en"/>
        </w:rPr>
        <w:t xml:space="preserve">. The annual report of the Directorate General of Budget </w:t>
      </w:r>
      <w:r w:rsidR="001C213C">
        <w:rPr>
          <w:szCs w:val="24"/>
          <w:lang w:val="en"/>
        </w:rPr>
        <w:t>2020 also explains that budget refocusing affect local</w:t>
      </w:r>
      <w:r w:rsidR="009C1B1E" w:rsidRPr="0092153F">
        <w:rPr>
          <w:szCs w:val="24"/>
          <w:lang w:val="en"/>
        </w:rPr>
        <w:t xml:space="preserve"> revenues, including the realization of capital expenditures. </w:t>
      </w:r>
      <w:bookmarkStart w:id="4" w:name="_Hlk118121537"/>
      <w:bookmarkEnd w:id="4"/>
    </w:p>
    <w:p w14:paraId="661384ED" w14:textId="03AEE695" w:rsidR="009A5922" w:rsidRPr="0092153F" w:rsidRDefault="0023341C" w:rsidP="0092153F">
      <w:pPr>
        <w:jc w:val="both"/>
        <w:rPr>
          <w:i/>
          <w:iCs/>
          <w:szCs w:val="24"/>
        </w:rPr>
      </w:pPr>
      <w:r w:rsidRPr="0092153F">
        <w:rPr>
          <w:i/>
          <w:iCs/>
          <w:szCs w:val="24"/>
          <w:lang w:val="en"/>
        </w:rPr>
        <w:t>H4 : Local Revenue positively affects Budget Changes</w:t>
      </w:r>
    </w:p>
    <w:p w14:paraId="67D09BF9" w14:textId="77777777" w:rsidR="003B03CB" w:rsidRPr="0092153F" w:rsidRDefault="003B03CB" w:rsidP="0092153F">
      <w:pPr>
        <w:jc w:val="both"/>
        <w:rPr>
          <w:i/>
          <w:iCs/>
          <w:szCs w:val="24"/>
        </w:rPr>
      </w:pPr>
    </w:p>
    <w:p w14:paraId="250449B2" w14:textId="5820FC8F" w:rsidR="006459CF" w:rsidRPr="0092153F" w:rsidRDefault="008A398D" w:rsidP="0092153F">
      <w:pPr>
        <w:pStyle w:val="Heading1"/>
        <w:numPr>
          <w:ilvl w:val="0"/>
          <w:numId w:val="6"/>
        </w:numPr>
        <w:suppressAutoHyphens/>
        <w:spacing w:after="60"/>
        <w:ind w:left="360"/>
        <w:jc w:val="both"/>
        <w:rPr>
          <w:i w:val="0"/>
          <w:sz w:val="24"/>
          <w:szCs w:val="24"/>
          <w:lang w:val="id"/>
        </w:rPr>
      </w:pPr>
      <w:r w:rsidRPr="0092153F">
        <w:rPr>
          <w:i w:val="0"/>
          <w:sz w:val="24"/>
          <w:szCs w:val="24"/>
          <w:lang w:val="en"/>
        </w:rPr>
        <w:t>Research Methods</w:t>
      </w:r>
    </w:p>
    <w:p w14:paraId="3E7740D6" w14:textId="623584EC" w:rsidR="00FF331F" w:rsidRPr="0092153F" w:rsidRDefault="00660115" w:rsidP="0092153F">
      <w:pPr>
        <w:spacing w:after="240"/>
        <w:jc w:val="both"/>
        <w:rPr>
          <w:szCs w:val="24"/>
          <w:lang w:val="en-ID"/>
        </w:rPr>
      </w:pPr>
      <w:r w:rsidRPr="0092153F">
        <w:rPr>
          <w:szCs w:val="24"/>
          <w:lang w:val="en"/>
        </w:rPr>
        <w:t xml:space="preserve">This </w:t>
      </w:r>
      <w:r w:rsidR="008B158D">
        <w:rPr>
          <w:szCs w:val="24"/>
          <w:lang w:val="en"/>
        </w:rPr>
        <w:t>study</w:t>
      </w:r>
      <w:r w:rsidRPr="0092153F">
        <w:rPr>
          <w:szCs w:val="24"/>
          <w:lang w:val="en"/>
        </w:rPr>
        <w:t xml:space="preserve"> uses a quantitative research. </w:t>
      </w:r>
      <w:r w:rsidR="008B158D">
        <w:rPr>
          <w:szCs w:val="24"/>
          <w:lang w:val="en"/>
        </w:rPr>
        <w:t>T</w:t>
      </w:r>
      <w:r w:rsidRPr="0092153F">
        <w:rPr>
          <w:szCs w:val="24"/>
          <w:lang w:val="en"/>
        </w:rPr>
        <w:t>his stud</w:t>
      </w:r>
      <w:r w:rsidR="008B158D">
        <w:rPr>
          <w:szCs w:val="24"/>
          <w:lang w:val="en"/>
        </w:rPr>
        <w:t>y’s population</w:t>
      </w:r>
      <w:r w:rsidRPr="0092153F">
        <w:rPr>
          <w:szCs w:val="24"/>
          <w:lang w:val="en"/>
        </w:rPr>
        <w:t xml:space="preserve"> was all district</w:t>
      </w:r>
      <w:r w:rsidR="008B158D">
        <w:rPr>
          <w:szCs w:val="24"/>
          <w:lang w:val="en"/>
        </w:rPr>
        <w:t>s</w:t>
      </w:r>
      <w:r w:rsidRPr="0092153F">
        <w:rPr>
          <w:szCs w:val="24"/>
          <w:lang w:val="en"/>
        </w:rPr>
        <w:t xml:space="preserve"> and cit</w:t>
      </w:r>
      <w:r w:rsidR="008B158D">
        <w:rPr>
          <w:szCs w:val="24"/>
          <w:lang w:val="en"/>
        </w:rPr>
        <w:t>ies</w:t>
      </w:r>
      <w:r w:rsidRPr="0092153F">
        <w:rPr>
          <w:szCs w:val="24"/>
          <w:lang w:val="en"/>
        </w:rPr>
        <w:t xml:space="preserve"> government in Central Java Province </w:t>
      </w:r>
      <w:r w:rsidR="009E46DC">
        <w:rPr>
          <w:szCs w:val="24"/>
          <w:lang w:val="en"/>
        </w:rPr>
        <w:t xml:space="preserve">during </w:t>
      </w:r>
      <w:r w:rsidRPr="0092153F">
        <w:rPr>
          <w:szCs w:val="24"/>
          <w:lang w:val="en"/>
        </w:rPr>
        <w:t>2019-2020. The sampling technique in this study is a saturated sample, which takes all</w:t>
      </w:r>
      <w:r w:rsidR="00CB03FB">
        <w:rPr>
          <w:szCs w:val="24"/>
          <w:lang w:val="en"/>
        </w:rPr>
        <w:t xml:space="preserve"> 35 Regencies and Cities</w:t>
      </w:r>
      <w:r w:rsidRPr="0092153F">
        <w:rPr>
          <w:szCs w:val="24"/>
          <w:lang w:val="en"/>
        </w:rPr>
        <w:t xml:space="preserve"> Governments in C</w:t>
      </w:r>
      <w:r w:rsidR="00CB03FB">
        <w:rPr>
          <w:szCs w:val="24"/>
          <w:lang w:val="en"/>
        </w:rPr>
        <w:t>entral Java Province</w:t>
      </w:r>
      <w:r w:rsidRPr="0092153F">
        <w:rPr>
          <w:szCs w:val="24"/>
          <w:lang w:val="en"/>
        </w:rPr>
        <w:t xml:space="preserve">. </w:t>
      </w:r>
      <w:r w:rsidR="008B158D">
        <w:rPr>
          <w:szCs w:val="24"/>
          <w:lang w:val="en"/>
        </w:rPr>
        <w:t>T</w:t>
      </w:r>
      <w:r w:rsidRPr="0092153F">
        <w:rPr>
          <w:szCs w:val="24"/>
          <w:lang w:val="en"/>
        </w:rPr>
        <w:t xml:space="preserve">his </w:t>
      </w:r>
      <w:r w:rsidR="002B6348">
        <w:rPr>
          <w:szCs w:val="24"/>
          <w:lang w:val="en"/>
        </w:rPr>
        <w:t>research</w:t>
      </w:r>
      <w:r w:rsidRPr="0092153F">
        <w:rPr>
          <w:szCs w:val="24"/>
          <w:lang w:val="en"/>
        </w:rPr>
        <w:t xml:space="preserve"> </w:t>
      </w:r>
      <w:r w:rsidR="008B158D">
        <w:rPr>
          <w:szCs w:val="24"/>
          <w:lang w:val="en"/>
        </w:rPr>
        <w:t>use</w:t>
      </w:r>
      <w:r w:rsidRPr="0092153F">
        <w:rPr>
          <w:szCs w:val="24"/>
          <w:lang w:val="en"/>
        </w:rPr>
        <w:t xml:space="preserve"> the documentation method, namely reading, studying and processing data for this study. The data used </w:t>
      </w:r>
      <w:r w:rsidR="0020379F">
        <w:rPr>
          <w:szCs w:val="24"/>
          <w:lang w:val="en"/>
        </w:rPr>
        <w:t xml:space="preserve">in this study </w:t>
      </w:r>
      <w:r w:rsidRPr="0092153F">
        <w:rPr>
          <w:szCs w:val="24"/>
          <w:lang w:val="en"/>
        </w:rPr>
        <w:t xml:space="preserve">is secondary data </w:t>
      </w:r>
      <w:r w:rsidR="00CB03FB">
        <w:rPr>
          <w:szCs w:val="24"/>
          <w:lang w:val="en"/>
        </w:rPr>
        <w:t>, consist of</w:t>
      </w:r>
      <w:r w:rsidR="0020379F">
        <w:rPr>
          <w:szCs w:val="24"/>
          <w:lang w:val="en"/>
        </w:rPr>
        <w:t xml:space="preserve"> </w:t>
      </w:r>
      <w:r w:rsidRPr="0092153F">
        <w:rPr>
          <w:szCs w:val="24"/>
          <w:lang w:val="en"/>
        </w:rPr>
        <w:t>Local Government Financial Statements (LKPD) sourced from BPK</w:t>
      </w:r>
      <w:r w:rsidR="00037F6D">
        <w:rPr>
          <w:lang w:val="en"/>
        </w:rPr>
        <w:t xml:space="preserve"> </w:t>
      </w:r>
      <w:r>
        <w:rPr>
          <w:lang w:val="en"/>
        </w:rPr>
        <w:t xml:space="preserve">PPID and </w:t>
      </w:r>
      <w:r w:rsidR="00FF331F" w:rsidRPr="0092153F">
        <w:rPr>
          <w:szCs w:val="24"/>
          <w:lang w:val="en"/>
        </w:rPr>
        <w:t>Regional Regulations from the Legal Documentation and Information Network (JDIH). The analysis tool used is si</w:t>
      </w:r>
      <w:r w:rsidR="00EA7ABB">
        <w:rPr>
          <w:szCs w:val="24"/>
          <w:lang w:val="en"/>
        </w:rPr>
        <w:t>mple regression, it is caused</w:t>
      </w:r>
      <w:r w:rsidR="00FF331F" w:rsidRPr="0092153F">
        <w:rPr>
          <w:szCs w:val="24"/>
          <w:lang w:val="en"/>
        </w:rPr>
        <w:t xml:space="preserve"> the purpose of this </w:t>
      </w:r>
      <w:proofErr w:type="spellStart"/>
      <w:r w:rsidR="00371132">
        <w:rPr>
          <w:szCs w:val="24"/>
          <w:lang w:val="en"/>
        </w:rPr>
        <w:t>researche</w:t>
      </w:r>
      <w:proofErr w:type="spellEnd"/>
      <w:r w:rsidR="00FF331F" w:rsidRPr="0092153F">
        <w:rPr>
          <w:szCs w:val="24"/>
          <w:lang w:val="en"/>
        </w:rPr>
        <w:t xml:space="preserve"> is to predict the </w:t>
      </w:r>
      <w:r w:rsidR="00371132">
        <w:rPr>
          <w:szCs w:val="24"/>
          <w:lang w:val="en"/>
        </w:rPr>
        <w:t>impact</w:t>
      </w:r>
      <w:r w:rsidR="00FF331F" w:rsidRPr="0092153F">
        <w:rPr>
          <w:szCs w:val="24"/>
          <w:lang w:val="en"/>
        </w:rPr>
        <w:t xml:space="preserve"> of one variable X, namely Regional Original Income on several variables Y partially.</w:t>
      </w:r>
      <w:bookmarkStart w:id="5" w:name="_Hlk114667715"/>
    </w:p>
    <w:p w14:paraId="5A8EE200" w14:textId="0DFE1DA7" w:rsidR="00FF331F" w:rsidRPr="0092153F" w:rsidRDefault="00FF331F" w:rsidP="0092153F">
      <w:pPr>
        <w:spacing w:after="240"/>
        <w:jc w:val="both"/>
        <w:rPr>
          <w:szCs w:val="24"/>
          <w:lang w:val="en-ID"/>
        </w:rPr>
      </w:pPr>
      <w:r w:rsidRPr="0092153F">
        <w:rPr>
          <w:szCs w:val="24"/>
          <w:lang w:val="en"/>
        </w:rPr>
        <w:t>Operational Definition of Variables</w:t>
      </w:r>
    </w:p>
    <w:p w14:paraId="68C44397" w14:textId="12C0B809" w:rsidR="00FF331F" w:rsidRPr="0092153F" w:rsidRDefault="00FF331F" w:rsidP="0092153F">
      <w:pPr>
        <w:pStyle w:val="ListParagraph"/>
        <w:numPr>
          <w:ilvl w:val="0"/>
          <w:numId w:val="9"/>
        </w:numPr>
        <w:spacing w:after="240"/>
        <w:jc w:val="both"/>
        <w:rPr>
          <w:szCs w:val="24"/>
          <w:lang w:val="en-ID"/>
        </w:rPr>
      </w:pPr>
      <w:r w:rsidRPr="0092153F">
        <w:rPr>
          <w:szCs w:val="24"/>
          <w:lang w:val="en"/>
        </w:rPr>
        <w:t>Local Revenue (X)</w:t>
      </w:r>
    </w:p>
    <w:p w14:paraId="4A6ED9DC" w14:textId="11758A6C" w:rsidR="00FF331F" w:rsidRPr="0092153F" w:rsidRDefault="00FF331F" w:rsidP="0092153F">
      <w:pPr>
        <w:spacing w:after="240"/>
        <w:jc w:val="both"/>
        <w:rPr>
          <w:szCs w:val="24"/>
          <w:lang w:val="en-ID"/>
        </w:rPr>
      </w:pPr>
      <w:r w:rsidRPr="0092153F">
        <w:rPr>
          <w:szCs w:val="24"/>
          <w:lang w:val="en"/>
        </w:rPr>
        <w:t>According to Government Regulation Number 12 of 20</w:t>
      </w:r>
      <w:r w:rsidR="00E914D3">
        <w:rPr>
          <w:szCs w:val="24"/>
          <w:lang w:val="en"/>
        </w:rPr>
        <w:t xml:space="preserve">19 Article 30 Local </w:t>
      </w:r>
      <w:r w:rsidRPr="0092153F">
        <w:rPr>
          <w:szCs w:val="24"/>
          <w:lang w:val="en"/>
        </w:rPr>
        <w:t>Revenue is regional revenues derived from local economic sources consisting of local</w:t>
      </w:r>
      <w:r w:rsidR="008B158D">
        <w:rPr>
          <w:szCs w:val="24"/>
          <w:lang w:val="en"/>
        </w:rPr>
        <w:t xml:space="preserve"> </w:t>
      </w:r>
      <w:r w:rsidR="008B158D" w:rsidRPr="0092153F">
        <w:rPr>
          <w:szCs w:val="24"/>
          <w:lang w:val="en"/>
        </w:rPr>
        <w:t xml:space="preserve">regional levies, </w:t>
      </w:r>
      <w:r w:rsidRPr="0092153F">
        <w:rPr>
          <w:szCs w:val="24"/>
          <w:lang w:val="en"/>
        </w:rPr>
        <w:t xml:space="preserve"> taxes, the results of r</w:t>
      </w:r>
      <w:r w:rsidR="00633A86">
        <w:rPr>
          <w:szCs w:val="24"/>
          <w:lang w:val="en"/>
        </w:rPr>
        <w:t xml:space="preserve">egional equity </w:t>
      </w:r>
      <w:r w:rsidRPr="0092153F">
        <w:rPr>
          <w:szCs w:val="24"/>
          <w:lang w:val="en"/>
        </w:rPr>
        <w:t>management that are separated a</w:t>
      </w:r>
      <w:r w:rsidR="00633A86">
        <w:rPr>
          <w:szCs w:val="24"/>
          <w:lang w:val="en"/>
        </w:rPr>
        <w:t xml:space="preserve">nd other legitimate income.  Local Revenue </w:t>
      </w:r>
      <w:r w:rsidRPr="0092153F">
        <w:rPr>
          <w:szCs w:val="24"/>
          <w:lang w:val="en"/>
        </w:rPr>
        <w:t xml:space="preserve"> has an important role because from this sector it can be seen the </w:t>
      </w:r>
      <w:r w:rsidR="0020379F">
        <w:rPr>
          <w:szCs w:val="24"/>
          <w:lang w:val="en"/>
        </w:rPr>
        <w:t>power</w:t>
      </w:r>
      <w:r w:rsidRPr="0092153F">
        <w:rPr>
          <w:szCs w:val="24"/>
          <w:lang w:val="en"/>
        </w:rPr>
        <w:t xml:space="preserve"> of regions to finance local </w:t>
      </w:r>
      <w:r w:rsidR="0020379F">
        <w:rPr>
          <w:szCs w:val="24"/>
          <w:lang w:val="en"/>
        </w:rPr>
        <w:t>development</w:t>
      </w:r>
      <w:r w:rsidRPr="0092153F">
        <w:rPr>
          <w:szCs w:val="24"/>
          <w:lang w:val="en"/>
        </w:rPr>
        <w:t xml:space="preserve"> and</w:t>
      </w:r>
      <w:r w:rsidR="0020379F">
        <w:rPr>
          <w:szCs w:val="24"/>
          <w:lang w:val="en"/>
        </w:rPr>
        <w:t xml:space="preserve"> government</w:t>
      </w:r>
      <w:r w:rsidRPr="0092153F">
        <w:rPr>
          <w:szCs w:val="24"/>
          <w:lang w:val="en"/>
        </w:rPr>
        <w:t xml:space="preserve"> (Law No. 12 </w:t>
      </w:r>
      <w:r w:rsidR="00633A86">
        <w:rPr>
          <w:szCs w:val="24"/>
          <w:lang w:val="en"/>
        </w:rPr>
        <w:t>of 2019) Local Revenu</w:t>
      </w:r>
      <w:r w:rsidRPr="0092153F">
        <w:rPr>
          <w:szCs w:val="24"/>
          <w:lang w:val="en"/>
        </w:rPr>
        <w:t>e is obtained from Regional Tax Proceeds, Regional Levies, Manageme</w:t>
      </w:r>
      <w:r w:rsidR="00633A86">
        <w:rPr>
          <w:szCs w:val="24"/>
          <w:lang w:val="en"/>
        </w:rPr>
        <w:t>nt of Segregated Regional Equity</w:t>
      </w:r>
      <w:r w:rsidRPr="0092153F">
        <w:rPr>
          <w:szCs w:val="24"/>
          <w:lang w:val="en"/>
        </w:rPr>
        <w:t xml:space="preserve"> and other legitimate income. </w:t>
      </w:r>
    </w:p>
    <w:p w14:paraId="0B3939F2" w14:textId="6B7AB5B0" w:rsidR="009A5922" w:rsidRPr="0092153F" w:rsidRDefault="00FF331F" w:rsidP="0092153F">
      <w:pPr>
        <w:pStyle w:val="ListParagraph"/>
        <w:numPr>
          <w:ilvl w:val="0"/>
          <w:numId w:val="9"/>
        </w:numPr>
        <w:spacing w:after="240"/>
        <w:jc w:val="both"/>
        <w:rPr>
          <w:szCs w:val="24"/>
          <w:lang w:val="en-ID"/>
        </w:rPr>
      </w:pPr>
      <w:r w:rsidRPr="0092153F">
        <w:rPr>
          <w:szCs w:val="24"/>
          <w:lang w:val="en"/>
        </w:rPr>
        <w:t>Capital Expenditures (Y1)</w:t>
      </w:r>
    </w:p>
    <w:p w14:paraId="5D99173F" w14:textId="77E9DA95" w:rsidR="009A5922" w:rsidRPr="0092153F" w:rsidRDefault="009A5922" w:rsidP="0092153F">
      <w:pPr>
        <w:spacing w:after="240"/>
        <w:jc w:val="both"/>
        <w:rPr>
          <w:szCs w:val="24"/>
          <w:lang w:val="en-ID"/>
        </w:rPr>
      </w:pPr>
      <w:r w:rsidRPr="0092153F">
        <w:rPr>
          <w:szCs w:val="24"/>
          <w:lang w:val="en"/>
        </w:rPr>
        <w:t>In Government Regulation no. 19 of 2019 in article 55, it is explained that Regional Expenditures are classified into 4, namely operating expenditures, capital expenditures, unexpected expenditures and transfer expenditures. Meanwhile, capital expenditure is a budget expenditure in the form of fixed assets that have benefits of more than 1</w:t>
      </w:r>
      <w:r w:rsidR="00314ADC">
        <w:rPr>
          <w:szCs w:val="24"/>
          <w:lang w:val="en"/>
        </w:rPr>
        <w:t xml:space="preserve"> year</w:t>
      </w:r>
      <w:r w:rsidRPr="0092153F">
        <w:rPr>
          <w:szCs w:val="24"/>
          <w:lang w:val="en"/>
        </w:rPr>
        <w:t xml:space="preserve"> accounting </w:t>
      </w:r>
      <w:proofErr w:type="spellStart"/>
      <w:r w:rsidR="00314ADC">
        <w:rPr>
          <w:szCs w:val="24"/>
          <w:lang w:val="en"/>
        </w:rPr>
        <w:t>per</w:t>
      </w:r>
      <w:r w:rsidRPr="0092153F">
        <w:rPr>
          <w:szCs w:val="24"/>
          <w:lang w:val="en"/>
        </w:rPr>
        <w:t>iode</w:t>
      </w:r>
      <w:proofErr w:type="spellEnd"/>
      <w:r w:rsidRPr="0092153F">
        <w:rPr>
          <w:szCs w:val="24"/>
          <w:lang w:val="en"/>
        </w:rPr>
        <w:t xml:space="preserve">. </w:t>
      </w:r>
      <w:r w:rsidR="00BC09F7">
        <w:rPr>
          <w:szCs w:val="24"/>
          <w:lang w:val="en"/>
        </w:rPr>
        <w:t xml:space="preserve">Capital </w:t>
      </w:r>
      <w:r w:rsidR="00E759BE" w:rsidRPr="00E759BE">
        <w:rPr>
          <w:szCs w:val="24"/>
          <w:lang w:val="en"/>
        </w:rPr>
        <w:t xml:space="preserve">Expenditure is derived from land expenditure, equipment and facilities, building and construction expenditure, road, irrigation and network expenditure, other expenditure </w:t>
      </w:r>
      <w:r w:rsidRPr="0092153F">
        <w:rPr>
          <w:szCs w:val="24"/>
          <w:lang w:val="en"/>
        </w:rPr>
        <w:t xml:space="preserve">and Intangible Asset Expenditures. </w:t>
      </w:r>
    </w:p>
    <w:p w14:paraId="75742F47" w14:textId="14AEB5FC" w:rsidR="00FF331F" w:rsidRPr="0092153F" w:rsidRDefault="00FF331F" w:rsidP="0092153F">
      <w:pPr>
        <w:pStyle w:val="ListParagraph"/>
        <w:numPr>
          <w:ilvl w:val="0"/>
          <w:numId w:val="9"/>
        </w:numPr>
        <w:spacing w:after="240"/>
        <w:jc w:val="both"/>
        <w:rPr>
          <w:szCs w:val="24"/>
          <w:lang w:val="en-ID"/>
        </w:rPr>
      </w:pPr>
      <w:r w:rsidRPr="0092153F">
        <w:rPr>
          <w:szCs w:val="24"/>
          <w:lang w:val="en"/>
        </w:rPr>
        <w:lastRenderedPageBreak/>
        <w:t>Infrastructure Financing (Y2)</w:t>
      </w:r>
    </w:p>
    <w:p w14:paraId="0D883B2C" w14:textId="4FD58D03" w:rsidR="009A5922" w:rsidRPr="0092153F" w:rsidRDefault="009A5922" w:rsidP="0092153F">
      <w:pPr>
        <w:spacing w:after="240"/>
        <w:jc w:val="both"/>
        <w:rPr>
          <w:szCs w:val="24"/>
          <w:lang w:val="en-ID"/>
        </w:rPr>
      </w:pPr>
      <w:r w:rsidRPr="0092153F">
        <w:rPr>
          <w:szCs w:val="24"/>
          <w:lang w:val="en"/>
        </w:rPr>
        <w:t>Infrastructure development is an important part of driving economic growth. Infrastructure also has an important role in increasing investment and increasing the number of community participation and in equitable distribution of development outcomes. Infrastructure also has an influence in improving the quality of life and welfare of the community such as an increase in the value of people's consumption, labor productivity and access to employment. Infrastructure itself is calculated from the amount of Network Spending, Roads and Irrigation.</w:t>
      </w:r>
    </w:p>
    <w:p w14:paraId="3F835BAC" w14:textId="056F54DE" w:rsidR="00FF331F" w:rsidRPr="0092153F" w:rsidRDefault="00FF331F" w:rsidP="0092153F">
      <w:pPr>
        <w:pStyle w:val="ListParagraph"/>
        <w:numPr>
          <w:ilvl w:val="0"/>
          <w:numId w:val="9"/>
        </w:numPr>
        <w:spacing w:after="240"/>
        <w:jc w:val="both"/>
        <w:rPr>
          <w:szCs w:val="24"/>
          <w:lang w:val="en-ID"/>
        </w:rPr>
      </w:pPr>
      <w:r w:rsidRPr="0092153F">
        <w:rPr>
          <w:szCs w:val="24"/>
          <w:lang w:val="en"/>
        </w:rPr>
        <w:t xml:space="preserve">Performance Accountability </w:t>
      </w:r>
      <w:r w:rsidR="009430D5">
        <w:rPr>
          <w:szCs w:val="24"/>
          <w:lang w:val="en"/>
        </w:rPr>
        <w:t>System</w:t>
      </w:r>
      <w:r w:rsidRPr="0092153F">
        <w:rPr>
          <w:szCs w:val="24"/>
          <w:lang w:val="en"/>
        </w:rPr>
        <w:t>(Y3)</w:t>
      </w:r>
    </w:p>
    <w:p w14:paraId="395BE710" w14:textId="1CB6162C" w:rsidR="0011472C" w:rsidRPr="00E712CA" w:rsidRDefault="009A5922" w:rsidP="0092153F">
      <w:pPr>
        <w:spacing w:after="240"/>
        <w:jc w:val="both"/>
        <w:rPr>
          <w:szCs w:val="24"/>
          <w:lang w:val="en"/>
        </w:rPr>
      </w:pPr>
      <w:r w:rsidRPr="0092153F">
        <w:rPr>
          <w:szCs w:val="24"/>
          <w:lang w:val="en"/>
        </w:rPr>
        <w:t>Accountability is a form of obligation to report progress on successes or failures in the implementation of the organization's mission in achieving the goals and objectives that have been set through a medium of accountability that is carried out periodically (Yesinia 2018). . To measure accountability performance in a government, SAKIP data is needed</w:t>
      </w:r>
      <w:r w:rsidR="000210ED">
        <w:rPr>
          <w:szCs w:val="24"/>
          <w:lang w:val="en"/>
        </w:rPr>
        <w:t>.</w:t>
      </w:r>
    </w:p>
    <w:p w14:paraId="36134172" w14:textId="20CBF4D7" w:rsidR="009A5922" w:rsidRPr="0092153F" w:rsidRDefault="007F2E21" w:rsidP="0092153F">
      <w:pPr>
        <w:pStyle w:val="ListParagraph"/>
        <w:numPr>
          <w:ilvl w:val="0"/>
          <w:numId w:val="9"/>
        </w:numPr>
        <w:spacing w:after="240"/>
        <w:jc w:val="both"/>
        <w:rPr>
          <w:szCs w:val="24"/>
          <w:lang w:val="en-ID"/>
        </w:rPr>
      </w:pPr>
      <w:r>
        <w:rPr>
          <w:szCs w:val="24"/>
          <w:lang w:val="en"/>
        </w:rPr>
        <w:t>Budget Refocusing</w:t>
      </w:r>
      <w:r w:rsidR="00FF331F" w:rsidRPr="0092153F">
        <w:rPr>
          <w:szCs w:val="24"/>
          <w:lang w:val="en"/>
        </w:rPr>
        <w:t xml:space="preserve"> (Y4)</w:t>
      </w:r>
    </w:p>
    <w:bookmarkEnd w:id="5"/>
    <w:p w14:paraId="0E5A8DB5" w14:textId="15BC197F" w:rsidR="00446EFF" w:rsidRPr="0011472C" w:rsidRDefault="00660694" w:rsidP="0092153F">
      <w:pPr>
        <w:spacing w:after="240"/>
        <w:jc w:val="both"/>
        <w:rPr>
          <w:szCs w:val="24"/>
          <w:lang w:val="en"/>
        </w:rPr>
      </w:pPr>
      <w:r w:rsidRPr="0092153F">
        <w:rPr>
          <w:szCs w:val="24"/>
          <w:lang w:val="en"/>
        </w:rPr>
        <w:t xml:space="preserve">Etymologically </w:t>
      </w:r>
      <w:proofErr w:type="spellStart"/>
      <w:r w:rsidRPr="0092153F">
        <w:rPr>
          <w:szCs w:val="24"/>
          <w:lang w:val="en"/>
        </w:rPr>
        <w:t>recofusing</w:t>
      </w:r>
      <w:proofErr w:type="spellEnd"/>
      <w:r w:rsidRPr="0092153F">
        <w:rPr>
          <w:szCs w:val="24"/>
          <w:lang w:val="en"/>
        </w:rPr>
        <w:t xml:space="preserve"> a budget has the meaning of concentrating or refocusing the budget. Meanwhile, in terminology (according to the term) budget </w:t>
      </w:r>
      <w:proofErr w:type="spellStart"/>
      <w:r w:rsidRPr="0092153F">
        <w:rPr>
          <w:szCs w:val="24"/>
          <w:lang w:val="en"/>
        </w:rPr>
        <w:t>recofusing</w:t>
      </w:r>
      <w:proofErr w:type="spellEnd"/>
      <w:r w:rsidRPr="0092153F">
        <w:rPr>
          <w:szCs w:val="24"/>
          <w:lang w:val="en"/>
        </w:rPr>
        <w:t xml:space="preserve"> is to concentrate or refocus the budget for activities that were previously budgeted through budget changes. Budget refocusing is closely related to the </w:t>
      </w:r>
      <w:r w:rsidR="00D14A4D">
        <w:rPr>
          <w:szCs w:val="24"/>
          <w:lang w:val="en"/>
        </w:rPr>
        <w:t>Local Government Budget or APBD which consist of</w:t>
      </w:r>
      <w:r w:rsidR="00F55636">
        <w:rPr>
          <w:szCs w:val="24"/>
          <w:lang w:val="en"/>
        </w:rPr>
        <w:t xml:space="preserve"> 3 divisions, namely local revenue,</w:t>
      </w:r>
      <w:r w:rsidR="00D14A4D">
        <w:rPr>
          <w:szCs w:val="24"/>
          <w:lang w:val="en"/>
        </w:rPr>
        <w:t xml:space="preserve"> </w:t>
      </w:r>
      <w:r w:rsidRPr="0092153F">
        <w:rPr>
          <w:szCs w:val="24"/>
          <w:lang w:val="en"/>
        </w:rPr>
        <w:t xml:space="preserve"> expenditure and financing.</w:t>
      </w:r>
    </w:p>
    <w:p w14:paraId="07182BBF" w14:textId="77777777" w:rsidR="00D73172" w:rsidRPr="0092153F" w:rsidRDefault="008A398D" w:rsidP="0092153F">
      <w:pPr>
        <w:pStyle w:val="Heading1"/>
        <w:numPr>
          <w:ilvl w:val="0"/>
          <w:numId w:val="6"/>
        </w:numPr>
        <w:suppressAutoHyphens/>
        <w:spacing w:after="60"/>
        <w:ind w:left="360"/>
        <w:jc w:val="both"/>
        <w:rPr>
          <w:i w:val="0"/>
          <w:sz w:val="24"/>
          <w:szCs w:val="24"/>
        </w:rPr>
      </w:pPr>
      <w:r w:rsidRPr="0092153F">
        <w:rPr>
          <w:i w:val="0"/>
          <w:sz w:val="24"/>
          <w:szCs w:val="24"/>
          <w:lang w:val="en"/>
        </w:rPr>
        <w:t>Results and Discussion</w:t>
      </w:r>
    </w:p>
    <w:p w14:paraId="4552F768" w14:textId="16B5F173" w:rsidR="00467D33" w:rsidRPr="0092153F" w:rsidRDefault="008A398D" w:rsidP="0092153F">
      <w:pPr>
        <w:pStyle w:val="Heading1"/>
        <w:numPr>
          <w:ilvl w:val="1"/>
          <w:numId w:val="7"/>
        </w:numPr>
        <w:suppressAutoHyphens/>
        <w:spacing w:after="60"/>
        <w:jc w:val="both"/>
        <w:rPr>
          <w:i w:val="0"/>
          <w:sz w:val="24"/>
          <w:szCs w:val="24"/>
        </w:rPr>
      </w:pPr>
      <w:r w:rsidRPr="0092153F">
        <w:rPr>
          <w:i w:val="0"/>
          <w:sz w:val="24"/>
          <w:szCs w:val="24"/>
          <w:lang w:val="en"/>
        </w:rPr>
        <w:t xml:space="preserve"> Result</w:t>
      </w:r>
    </w:p>
    <w:p w14:paraId="668CD2E1" w14:textId="3371B3A8" w:rsidR="009E6F26" w:rsidRPr="009C344E" w:rsidRDefault="009E6F26" w:rsidP="0092153F">
      <w:pPr>
        <w:pStyle w:val="ListParagraph"/>
        <w:numPr>
          <w:ilvl w:val="0"/>
          <w:numId w:val="11"/>
        </w:numPr>
        <w:jc w:val="both"/>
        <w:rPr>
          <w:szCs w:val="24"/>
        </w:rPr>
      </w:pPr>
      <w:r w:rsidRPr="0092153F">
        <w:rPr>
          <w:szCs w:val="24"/>
          <w:lang w:val="en"/>
        </w:rPr>
        <w:t>Descriptive Statistics</w:t>
      </w:r>
    </w:p>
    <w:p w14:paraId="2C06087A" w14:textId="65BFD6DF" w:rsidR="009C344E" w:rsidRPr="009C344E" w:rsidRDefault="009C344E" w:rsidP="009C344E">
      <w:pPr>
        <w:jc w:val="both"/>
        <w:rPr>
          <w:szCs w:val="24"/>
        </w:rPr>
      </w:pPr>
    </w:p>
    <w:tbl>
      <w:tblPr>
        <w:tblStyle w:val="GridTable1Light"/>
        <w:tblW w:w="9918" w:type="dxa"/>
        <w:tblLayout w:type="fixed"/>
        <w:tblLook w:val="0000" w:firstRow="0" w:lastRow="0" w:firstColumn="0" w:lastColumn="0" w:noHBand="0" w:noVBand="0"/>
      </w:tblPr>
      <w:tblGrid>
        <w:gridCol w:w="2587"/>
        <w:gridCol w:w="863"/>
        <w:gridCol w:w="1365"/>
        <w:gridCol w:w="1417"/>
        <w:gridCol w:w="1418"/>
        <w:gridCol w:w="2268"/>
      </w:tblGrid>
      <w:tr w:rsidR="00380B6B" w:rsidRPr="0092153F" w14:paraId="33D9CECE" w14:textId="77777777" w:rsidTr="009C344E">
        <w:trPr>
          <w:trHeight w:val="112"/>
        </w:trPr>
        <w:tc>
          <w:tcPr>
            <w:tcW w:w="9918" w:type="dxa"/>
            <w:gridSpan w:val="6"/>
          </w:tcPr>
          <w:p w14:paraId="3ABB05C9" w14:textId="1ABE7C10" w:rsidR="009E6F26" w:rsidRPr="0092153F" w:rsidRDefault="009E6F26" w:rsidP="0092153F">
            <w:pPr>
              <w:autoSpaceDE w:val="0"/>
              <w:autoSpaceDN w:val="0"/>
              <w:adjustRightInd w:val="0"/>
              <w:ind w:left="60" w:right="60"/>
              <w:jc w:val="both"/>
              <w:rPr>
                <w:szCs w:val="24"/>
              </w:rPr>
            </w:pPr>
            <w:bookmarkStart w:id="6" w:name="_Hlk116681915"/>
            <w:r w:rsidRPr="0092153F">
              <w:rPr>
                <w:b/>
                <w:bCs/>
                <w:szCs w:val="24"/>
                <w:lang w:val="en"/>
              </w:rPr>
              <w:t>Table 3 Descriptive Statistics</w:t>
            </w:r>
          </w:p>
        </w:tc>
      </w:tr>
      <w:tr w:rsidR="00380B6B" w:rsidRPr="0092153F" w14:paraId="54233560" w14:textId="77777777" w:rsidTr="009C344E">
        <w:trPr>
          <w:trHeight w:val="227"/>
        </w:trPr>
        <w:tc>
          <w:tcPr>
            <w:tcW w:w="2587" w:type="dxa"/>
          </w:tcPr>
          <w:p w14:paraId="45DF860F" w14:textId="77777777" w:rsidR="009E6F26" w:rsidRPr="0092153F" w:rsidRDefault="009E6F26" w:rsidP="0092153F">
            <w:pPr>
              <w:autoSpaceDE w:val="0"/>
              <w:autoSpaceDN w:val="0"/>
              <w:adjustRightInd w:val="0"/>
              <w:jc w:val="both"/>
              <w:rPr>
                <w:szCs w:val="24"/>
              </w:rPr>
            </w:pPr>
          </w:p>
        </w:tc>
        <w:tc>
          <w:tcPr>
            <w:tcW w:w="863" w:type="dxa"/>
          </w:tcPr>
          <w:p w14:paraId="2B26C365" w14:textId="00125FA2" w:rsidR="009E6F26" w:rsidRPr="0092153F" w:rsidRDefault="008B158D" w:rsidP="0092153F">
            <w:pPr>
              <w:autoSpaceDE w:val="0"/>
              <w:autoSpaceDN w:val="0"/>
              <w:adjustRightInd w:val="0"/>
              <w:ind w:left="60" w:right="60"/>
              <w:jc w:val="both"/>
              <w:rPr>
                <w:szCs w:val="24"/>
              </w:rPr>
            </w:pPr>
            <w:r>
              <w:rPr>
                <w:szCs w:val="24"/>
                <w:lang w:val="en"/>
              </w:rPr>
              <w:t>N</w:t>
            </w:r>
          </w:p>
        </w:tc>
        <w:tc>
          <w:tcPr>
            <w:tcW w:w="1365" w:type="dxa"/>
          </w:tcPr>
          <w:p w14:paraId="0922BA49" w14:textId="736D7A1C" w:rsidR="009E6F26" w:rsidRPr="0092153F" w:rsidRDefault="009E6F26" w:rsidP="0092153F">
            <w:pPr>
              <w:autoSpaceDE w:val="0"/>
              <w:autoSpaceDN w:val="0"/>
              <w:adjustRightInd w:val="0"/>
              <w:ind w:left="60" w:right="60"/>
              <w:jc w:val="both"/>
              <w:rPr>
                <w:szCs w:val="24"/>
              </w:rPr>
            </w:pPr>
            <w:r w:rsidRPr="0092153F">
              <w:rPr>
                <w:szCs w:val="24"/>
                <w:lang w:val="en"/>
              </w:rPr>
              <w:t>Minimu</w:t>
            </w:r>
            <w:r w:rsidR="008B158D">
              <w:rPr>
                <w:szCs w:val="24"/>
                <w:lang w:val="en"/>
              </w:rPr>
              <w:t>m</w:t>
            </w:r>
          </w:p>
        </w:tc>
        <w:tc>
          <w:tcPr>
            <w:tcW w:w="1417" w:type="dxa"/>
          </w:tcPr>
          <w:p w14:paraId="145125AA" w14:textId="7665D8DC" w:rsidR="009E6F26" w:rsidRPr="0092153F" w:rsidRDefault="009E6F26" w:rsidP="0092153F">
            <w:pPr>
              <w:autoSpaceDE w:val="0"/>
              <w:autoSpaceDN w:val="0"/>
              <w:adjustRightInd w:val="0"/>
              <w:ind w:left="60" w:right="60"/>
              <w:jc w:val="both"/>
              <w:rPr>
                <w:szCs w:val="24"/>
              </w:rPr>
            </w:pPr>
            <w:r w:rsidRPr="0092153F">
              <w:rPr>
                <w:szCs w:val="24"/>
                <w:lang w:val="en"/>
              </w:rPr>
              <w:t>Maximu</w:t>
            </w:r>
            <w:r w:rsidR="008B158D">
              <w:rPr>
                <w:szCs w:val="24"/>
                <w:lang w:val="en"/>
              </w:rPr>
              <w:t>m</w:t>
            </w:r>
          </w:p>
        </w:tc>
        <w:tc>
          <w:tcPr>
            <w:tcW w:w="1418" w:type="dxa"/>
          </w:tcPr>
          <w:p w14:paraId="081EA581" w14:textId="77777777" w:rsidR="009E6F26" w:rsidRPr="0092153F" w:rsidRDefault="009E6F26" w:rsidP="0092153F">
            <w:pPr>
              <w:autoSpaceDE w:val="0"/>
              <w:autoSpaceDN w:val="0"/>
              <w:adjustRightInd w:val="0"/>
              <w:ind w:left="60" w:right="60"/>
              <w:jc w:val="both"/>
              <w:rPr>
                <w:szCs w:val="24"/>
              </w:rPr>
            </w:pPr>
            <w:r w:rsidRPr="0092153F">
              <w:rPr>
                <w:szCs w:val="24"/>
                <w:lang w:val="en"/>
              </w:rPr>
              <w:t>Mean</w:t>
            </w:r>
          </w:p>
        </w:tc>
        <w:tc>
          <w:tcPr>
            <w:tcW w:w="2268" w:type="dxa"/>
          </w:tcPr>
          <w:p w14:paraId="1AC008ED" w14:textId="7D9F8117" w:rsidR="009E6F26" w:rsidRPr="0092153F" w:rsidRDefault="009E6F26" w:rsidP="0092153F">
            <w:pPr>
              <w:autoSpaceDE w:val="0"/>
              <w:autoSpaceDN w:val="0"/>
              <w:adjustRightInd w:val="0"/>
              <w:ind w:left="60" w:right="60"/>
              <w:jc w:val="both"/>
              <w:rPr>
                <w:szCs w:val="24"/>
              </w:rPr>
            </w:pPr>
            <w:proofErr w:type="spellStart"/>
            <w:r w:rsidRPr="0092153F">
              <w:rPr>
                <w:szCs w:val="24"/>
                <w:lang w:val="en"/>
              </w:rPr>
              <w:t>St</w:t>
            </w:r>
            <w:r w:rsidR="008B158D">
              <w:rPr>
                <w:szCs w:val="24"/>
                <w:lang w:val="en"/>
              </w:rPr>
              <w:t>andart</w:t>
            </w:r>
            <w:proofErr w:type="spellEnd"/>
            <w:r w:rsidRPr="0092153F">
              <w:rPr>
                <w:szCs w:val="24"/>
                <w:lang w:val="en"/>
              </w:rPr>
              <w:t xml:space="preserve"> Deviations</w:t>
            </w:r>
          </w:p>
        </w:tc>
      </w:tr>
      <w:tr w:rsidR="00380B6B" w:rsidRPr="0092153F" w14:paraId="3EE491F5" w14:textId="77777777" w:rsidTr="009C344E">
        <w:trPr>
          <w:trHeight w:val="231"/>
        </w:trPr>
        <w:tc>
          <w:tcPr>
            <w:tcW w:w="2587" w:type="dxa"/>
          </w:tcPr>
          <w:p w14:paraId="65C39670" w14:textId="21E6888C" w:rsidR="009E6F26" w:rsidRPr="0092153F" w:rsidRDefault="00EA11C6" w:rsidP="0092153F">
            <w:pPr>
              <w:autoSpaceDE w:val="0"/>
              <w:autoSpaceDN w:val="0"/>
              <w:adjustRightInd w:val="0"/>
              <w:ind w:left="60" w:right="60"/>
              <w:jc w:val="both"/>
              <w:rPr>
                <w:szCs w:val="24"/>
              </w:rPr>
            </w:pPr>
            <w:r>
              <w:rPr>
                <w:szCs w:val="24"/>
                <w:lang w:val="en"/>
              </w:rPr>
              <w:t>LOCAL REVENUE</w:t>
            </w:r>
          </w:p>
        </w:tc>
        <w:tc>
          <w:tcPr>
            <w:tcW w:w="863" w:type="dxa"/>
          </w:tcPr>
          <w:p w14:paraId="1B6F3C7A" w14:textId="77777777" w:rsidR="009E6F26" w:rsidRPr="0092153F" w:rsidRDefault="009E6F26" w:rsidP="0092153F">
            <w:pPr>
              <w:autoSpaceDE w:val="0"/>
              <w:autoSpaceDN w:val="0"/>
              <w:adjustRightInd w:val="0"/>
              <w:ind w:left="60" w:right="60"/>
              <w:jc w:val="both"/>
              <w:rPr>
                <w:szCs w:val="24"/>
              </w:rPr>
            </w:pPr>
            <w:r w:rsidRPr="0092153F">
              <w:rPr>
                <w:szCs w:val="24"/>
                <w:lang w:val="en"/>
              </w:rPr>
              <w:t>70</w:t>
            </w:r>
          </w:p>
        </w:tc>
        <w:tc>
          <w:tcPr>
            <w:tcW w:w="1365" w:type="dxa"/>
          </w:tcPr>
          <w:p w14:paraId="156FDC7B" w14:textId="77777777" w:rsidR="009E6F26" w:rsidRPr="0092153F" w:rsidRDefault="009E6F26" w:rsidP="0092153F">
            <w:pPr>
              <w:autoSpaceDE w:val="0"/>
              <w:autoSpaceDN w:val="0"/>
              <w:adjustRightInd w:val="0"/>
              <w:ind w:left="60" w:right="60"/>
              <w:jc w:val="both"/>
              <w:rPr>
                <w:szCs w:val="24"/>
              </w:rPr>
            </w:pPr>
            <w:r w:rsidRPr="0092153F">
              <w:rPr>
                <w:szCs w:val="24"/>
                <w:lang w:val="en"/>
              </w:rPr>
              <w:t>212777435294.00</w:t>
            </w:r>
          </w:p>
        </w:tc>
        <w:tc>
          <w:tcPr>
            <w:tcW w:w="1417" w:type="dxa"/>
          </w:tcPr>
          <w:p w14:paraId="7F6A0B15" w14:textId="77777777" w:rsidR="009E6F26" w:rsidRPr="0092153F" w:rsidRDefault="009E6F26" w:rsidP="0092153F">
            <w:pPr>
              <w:autoSpaceDE w:val="0"/>
              <w:autoSpaceDN w:val="0"/>
              <w:adjustRightInd w:val="0"/>
              <w:ind w:left="60" w:right="60"/>
              <w:jc w:val="both"/>
              <w:rPr>
                <w:szCs w:val="24"/>
              </w:rPr>
            </w:pPr>
            <w:r w:rsidRPr="0092153F">
              <w:rPr>
                <w:szCs w:val="24"/>
                <w:lang w:val="en"/>
              </w:rPr>
              <w:t>2066333418588.00</w:t>
            </w:r>
          </w:p>
        </w:tc>
        <w:tc>
          <w:tcPr>
            <w:tcW w:w="1418" w:type="dxa"/>
          </w:tcPr>
          <w:p w14:paraId="223831DF" w14:textId="77777777" w:rsidR="009E6F26" w:rsidRPr="0092153F" w:rsidRDefault="009E6F26" w:rsidP="0092153F">
            <w:pPr>
              <w:autoSpaceDE w:val="0"/>
              <w:autoSpaceDN w:val="0"/>
              <w:adjustRightInd w:val="0"/>
              <w:ind w:left="60" w:right="60"/>
              <w:jc w:val="both"/>
              <w:rPr>
                <w:szCs w:val="24"/>
              </w:rPr>
            </w:pPr>
            <w:r w:rsidRPr="0092153F">
              <w:rPr>
                <w:szCs w:val="24"/>
                <w:lang w:val="en"/>
              </w:rPr>
              <w:t>408545999876.0143</w:t>
            </w:r>
          </w:p>
        </w:tc>
        <w:tc>
          <w:tcPr>
            <w:tcW w:w="2268" w:type="dxa"/>
          </w:tcPr>
          <w:p w14:paraId="60DDFA9F" w14:textId="77777777" w:rsidR="009E6F26" w:rsidRPr="0092153F" w:rsidRDefault="009E6F26" w:rsidP="0092153F">
            <w:pPr>
              <w:autoSpaceDE w:val="0"/>
              <w:autoSpaceDN w:val="0"/>
              <w:adjustRightInd w:val="0"/>
              <w:ind w:left="60" w:right="60"/>
              <w:jc w:val="both"/>
              <w:rPr>
                <w:szCs w:val="24"/>
              </w:rPr>
            </w:pPr>
            <w:r w:rsidRPr="0092153F">
              <w:rPr>
                <w:szCs w:val="24"/>
                <w:lang w:val="en"/>
              </w:rPr>
              <w:t>299511038432.77057</w:t>
            </w:r>
          </w:p>
        </w:tc>
      </w:tr>
      <w:tr w:rsidR="00380B6B" w:rsidRPr="0092153F" w14:paraId="53128912" w14:textId="77777777" w:rsidTr="009C344E">
        <w:trPr>
          <w:trHeight w:val="227"/>
        </w:trPr>
        <w:tc>
          <w:tcPr>
            <w:tcW w:w="2587" w:type="dxa"/>
          </w:tcPr>
          <w:p w14:paraId="61C048EE" w14:textId="77777777" w:rsidR="009E6F26" w:rsidRPr="0092153F" w:rsidRDefault="009E6F26" w:rsidP="0092153F">
            <w:pPr>
              <w:autoSpaceDE w:val="0"/>
              <w:autoSpaceDN w:val="0"/>
              <w:adjustRightInd w:val="0"/>
              <w:ind w:left="60" w:right="60"/>
              <w:jc w:val="both"/>
              <w:rPr>
                <w:szCs w:val="24"/>
              </w:rPr>
            </w:pPr>
            <w:r w:rsidRPr="0092153F">
              <w:rPr>
                <w:szCs w:val="24"/>
                <w:lang w:val="en"/>
              </w:rPr>
              <w:t>CAPITAL EXPENDITURES</w:t>
            </w:r>
          </w:p>
        </w:tc>
        <w:tc>
          <w:tcPr>
            <w:tcW w:w="863" w:type="dxa"/>
          </w:tcPr>
          <w:p w14:paraId="28BAC601" w14:textId="77777777" w:rsidR="009E6F26" w:rsidRPr="0092153F" w:rsidRDefault="009E6F26" w:rsidP="0092153F">
            <w:pPr>
              <w:autoSpaceDE w:val="0"/>
              <w:autoSpaceDN w:val="0"/>
              <w:adjustRightInd w:val="0"/>
              <w:ind w:left="60" w:right="60"/>
              <w:jc w:val="both"/>
              <w:rPr>
                <w:szCs w:val="24"/>
              </w:rPr>
            </w:pPr>
            <w:r w:rsidRPr="0092153F">
              <w:rPr>
                <w:szCs w:val="24"/>
                <w:lang w:val="en"/>
              </w:rPr>
              <w:t>70</w:t>
            </w:r>
          </w:p>
        </w:tc>
        <w:tc>
          <w:tcPr>
            <w:tcW w:w="1365" w:type="dxa"/>
          </w:tcPr>
          <w:p w14:paraId="204ACB4A" w14:textId="77777777" w:rsidR="009E6F26" w:rsidRPr="0092153F" w:rsidRDefault="009E6F26" w:rsidP="0092153F">
            <w:pPr>
              <w:autoSpaceDE w:val="0"/>
              <w:autoSpaceDN w:val="0"/>
              <w:adjustRightInd w:val="0"/>
              <w:ind w:left="60" w:right="60"/>
              <w:jc w:val="both"/>
              <w:rPr>
                <w:szCs w:val="24"/>
              </w:rPr>
            </w:pPr>
            <w:r w:rsidRPr="0092153F">
              <w:rPr>
                <w:szCs w:val="24"/>
                <w:lang w:val="en"/>
              </w:rPr>
              <w:t>102083054523.00</w:t>
            </w:r>
          </w:p>
        </w:tc>
        <w:tc>
          <w:tcPr>
            <w:tcW w:w="1417" w:type="dxa"/>
          </w:tcPr>
          <w:p w14:paraId="70658ED3" w14:textId="77777777" w:rsidR="009E6F26" w:rsidRPr="0092153F" w:rsidRDefault="009E6F26" w:rsidP="0092153F">
            <w:pPr>
              <w:autoSpaceDE w:val="0"/>
              <w:autoSpaceDN w:val="0"/>
              <w:adjustRightInd w:val="0"/>
              <w:ind w:left="60" w:right="60"/>
              <w:jc w:val="both"/>
              <w:rPr>
                <w:szCs w:val="24"/>
              </w:rPr>
            </w:pPr>
            <w:r w:rsidRPr="0092153F">
              <w:rPr>
                <w:szCs w:val="24"/>
                <w:lang w:val="en"/>
              </w:rPr>
              <w:t>1054761429772.00</w:t>
            </w:r>
          </w:p>
        </w:tc>
        <w:tc>
          <w:tcPr>
            <w:tcW w:w="1418" w:type="dxa"/>
          </w:tcPr>
          <w:p w14:paraId="032536A8" w14:textId="77777777" w:rsidR="009E6F26" w:rsidRPr="0092153F" w:rsidRDefault="009E6F26" w:rsidP="0092153F">
            <w:pPr>
              <w:autoSpaceDE w:val="0"/>
              <w:autoSpaceDN w:val="0"/>
              <w:adjustRightInd w:val="0"/>
              <w:ind w:left="60" w:right="60"/>
              <w:jc w:val="both"/>
              <w:rPr>
                <w:szCs w:val="24"/>
              </w:rPr>
            </w:pPr>
            <w:r w:rsidRPr="0092153F">
              <w:rPr>
                <w:szCs w:val="24"/>
                <w:lang w:val="en"/>
              </w:rPr>
              <w:t>319000268561.0001</w:t>
            </w:r>
          </w:p>
        </w:tc>
        <w:tc>
          <w:tcPr>
            <w:tcW w:w="2268" w:type="dxa"/>
          </w:tcPr>
          <w:p w14:paraId="45AE8434" w14:textId="77777777" w:rsidR="009E6F26" w:rsidRPr="0092153F" w:rsidRDefault="009E6F26" w:rsidP="0092153F">
            <w:pPr>
              <w:autoSpaceDE w:val="0"/>
              <w:autoSpaceDN w:val="0"/>
              <w:adjustRightInd w:val="0"/>
              <w:ind w:left="60" w:right="60"/>
              <w:jc w:val="both"/>
              <w:rPr>
                <w:szCs w:val="24"/>
              </w:rPr>
            </w:pPr>
            <w:r w:rsidRPr="0092153F">
              <w:rPr>
                <w:szCs w:val="24"/>
                <w:lang w:val="en"/>
              </w:rPr>
              <w:t>155312708715.96270</w:t>
            </w:r>
          </w:p>
        </w:tc>
      </w:tr>
      <w:tr w:rsidR="00380B6B" w:rsidRPr="0092153F" w14:paraId="0A2EAC3D" w14:textId="77777777" w:rsidTr="009C344E">
        <w:trPr>
          <w:trHeight w:val="227"/>
        </w:trPr>
        <w:tc>
          <w:tcPr>
            <w:tcW w:w="2587" w:type="dxa"/>
          </w:tcPr>
          <w:p w14:paraId="092161A4" w14:textId="77777777" w:rsidR="009E6F26" w:rsidRPr="0092153F" w:rsidRDefault="009E6F26" w:rsidP="0092153F">
            <w:pPr>
              <w:autoSpaceDE w:val="0"/>
              <w:autoSpaceDN w:val="0"/>
              <w:adjustRightInd w:val="0"/>
              <w:ind w:left="60" w:right="60"/>
              <w:jc w:val="both"/>
              <w:rPr>
                <w:szCs w:val="24"/>
              </w:rPr>
            </w:pPr>
            <w:r w:rsidRPr="0092153F">
              <w:rPr>
                <w:szCs w:val="24"/>
                <w:lang w:val="en"/>
              </w:rPr>
              <w:t>INFRASTRUCTURE</w:t>
            </w:r>
          </w:p>
        </w:tc>
        <w:tc>
          <w:tcPr>
            <w:tcW w:w="863" w:type="dxa"/>
          </w:tcPr>
          <w:p w14:paraId="60AB8BD8" w14:textId="77777777" w:rsidR="009E6F26" w:rsidRPr="0092153F" w:rsidRDefault="009E6F26" w:rsidP="0092153F">
            <w:pPr>
              <w:autoSpaceDE w:val="0"/>
              <w:autoSpaceDN w:val="0"/>
              <w:adjustRightInd w:val="0"/>
              <w:ind w:left="60" w:right="60"/>
              <w:jc w:val="both"/>
              <w:rPr>
                <w:szCs w:val="24"/>
              </w:rPr>
            </w:pPr>
            <w:r w:rsidRPr="0092153F">
              <w:rPr>
                <w:szCs w:val="24"/>
                <w:lang w:val="en"/>
              </w:rPr>
              <w:t>70</w:t>
            </w:r>
          </w:p>
        </w:tc>
        <w:tc>
          <w:tcPr>
            <w:tcW w:w="1365" w:type="dxa"/>
          </w:tcPr>
          <w:p w14:paraId="3020D14F" w14:textId="77777777" w:rsidR="009E6F26" w:rsidRPr="0092153F" w:rsidRDefault="009E6F26" w:rsidP="0092153F">
            <w:pPr>
              <w:autoSpaceDE w:val="0"/>
              <w:autoSpaceDN w:val="0"/>
              <w:adjustRightInd w:val="0"/>
              <w:ind w:left="60" w:right="60"/>
              <w:jc w:val="both"/>
              <w:rPr>
                <w:szCs w:val="24"/>
              </w:rPr>
            </w:pPr>
            <w:r w:rsidRPr="0092153F">
              <w:rPr>
                <w:szCs w:val="24"/>
                <w:lang w:val="en"/>
              </w:rPr>
              <w:t>14746387201.00</w:t>
            </w:r>
          </w:p>
        </w:tc>
        <w:tc>
          <w:tcPr>
            <w:tcW w:w="1417" w:type="dxa"/>
          </w:tcPr>
          <w:p w14:paraId="760A967E" w14:textId="77777777" w:rsidR="009E6F26" w:rsidRPr="0092153F" w:rsidRDefault="009E6F26" w:rsidP="0092153F">
            <w:pPr>
              <w:autoSpaceDE w:val="0"/>
              <w:autoSpaceDN w:val="0"/>
              <w:adjustRightInd w:val="0"/>
              <w:ind w:left="60" w:right="60"/>
              <w:jc w:val="both"/>
              <w:rPr>
                <w:szCs w:val="24"/>
              </w:rPr>
            </w:pPr>
            <w:r w:rsidRPr="0092153F">
              <w:rPr>
                <w:szCs w:val="24"/>
                <w:lang w:val="en"/>
              </w:rPr>
              <w:t>403203658651.00</w:t>
            </w:r>
          </w:p>
        </w:tc>
        <w:tc>
          <w:tcPr>
            <w:tcW w:w="1418" w:type="dxa"/>
          </w:tcPr>
          <w:p w14:paraId="0F3C54F7" w14:textId="77777777" w:rsidR="009E6F26" w:rsidRPr="0092153F" w:rsidRDefault="009E6F26" w:rsidP="0092153F">
            <w:pPr>
              <w:autoSpaceDE w:val="0"/>
              <w:autoSpaceDN w:val="0"/>
              <w:adjustRightInd w:val="0"/>
              <w:ind w:left="60" w:right="60"/>
              <w:jc w:val="both"/>
              <w:rPr>
                <w:szCs w:val="24"/>
              </w:rPr>
            </w:pPr>
            <w:r w:rsidRPr="0092153F">
              <w:rPr>
                <w:szCs w:val="24"/>
                <w:lang w:val="en"/>
              </w:rPr>
              <w:t>127512222008.3286</w:t>
            </w:r>
          </w:p>
        </w:tc>
        <w:tc>
          <w:tcPr>
            <w:tcW w:w="2268" w:type="dxa"/>
          </w:tcPr>
          <w:p w14:paraId="18943E81" w14:textId="77777777" w:rsidR="009E6F26" w:rsidRPr="0092153F" w:rsidRDefault="009E6F26" w:rsidP="0092153F">
            <w:pPr>
              <w:autoSpaceDE w:val="0"/>
              <w:autoSpaceDN w:val="0"/>
              <w:adjustRightInd w:val="0"/>
              <w:ind w:left="60" w:right="60"/>
              <w:jc w:val="both"/>
              <w:rPr>
                <w:szCs w:val="24"/>
              </w:rPr>
            </w:pPr>
            <w:bookmarkStart w:id="7" w:name="_Hlk114674552"/>
            <w:r w:rsidRPr="0092153F">
              <w:rPr>
                <w:szCs w:val="24"/>
                <w:lang w:val="en"/>
              </w:rPr>
              <w:t>84287893369.71979</w:t>
            </w:r>
            <w:bookmarkEnd w:id="7"/>
          </w:p>
        </w:tc>
      </w:tr>
      <w:tr w:rsidR="00380B6B" w:rsidRPr="0092153F" w14:paraId="172FF1F5" w14:textId="77777777" w:rsidTr="009C344E">
        <w:trPr>
          <w:trHeight w:val="112"/>
        </w:trPr>
        <w:tc>
          <w:tcPr>
            <w:tcW w:w="2587" w:type="dxa"/>
          </w:tcPr>
          <w:p w14:paraId="3B925DAD" w14:textId="2876D9C0" w:rsidR="009E6F26" w:rsidRPr="0092153F" w:rsidRDefault="00213767" w:rsidP="0092153F">
            <w:pPr>
              <w:autoSpaceDE w:val="0"/>
              <w:autoSpaceDN w:val="0"/>
              <w:adjustRightInd w:val="0"/>
              <w:ind w:left="60" w:right="60"/>
              <w:jc w:val="both"/>
              <w:rPr>
                <w:szCs w:val="24"/>
              </w:rPr>
            </w:pPr>
            <w:r>
              <w:rPr>
                <w:szCs w:val="24"/>
                <w:lang w:val="en"/>
              </w:rPr>
              <w:t xml:space="preserve">PERFORM. </w:t>
            </w:r>
            <w:r w:rsidR="009E6F26" w:rsidRPr="0092153F">
              <w:rPr>
                <w:szCs w:val="24"/>
                <w:lang w:val="en"/>
              </w:rPr>
              <w:t>ACCOUNTABILITY</w:t>
            </w:r>
            <w:r w:rsidR="00EA11C6">
              <w:rPr>
                <w:szCs w:val="24"/>
                <w:lang w:val="en"/>
              </w:rPr>
              <w:t xml:space="preserve"> SYSTEM</w:t>
            </w:r>
          </w:p>
        </w:tc>
        <w:tc>
          <w:tcPr>
            <w:tcW w:w="863" w:type="dxa"/>
          </w:tcPr>
          <w:p w14:paraId="7920948E" w14:textId="77777777" w:rsidR="009E6F26" w:rsidRPr="0092153F" w:rsidRDefault="009E6F26" w:rsidP="0092153F">
            <w:pPr>
              <w:autoSpaceDE w:val="0"/>
              <w:autoSpaceDN w:val="0"/>
              <w:adjustRightInd w:val="0"/>
              <w:ind w:left="60" w:right="60"/>
              <w:jc w:val="both"/>
              <w:rPr>
                <w:szCs w:val="24"/>
              </w:rPr>
            </w:pPr>
            <w:r w:rsidRPr="0092153F">
              <w:rPr>
                <w:szCs w:val="24"/>
                <w:lang w:val="en"/>
              </w:rPr>
              <w:t>70</w:t>
            </w:r>
          </w:p>
        </w:tc>
        <w:tc>
          <w:tcPr>
            <w:tcW w:w="1365" w:type="dxa"/>
          </w:tcPr>
          <w:p w14:paraId="71EFFC33" w14:textId="77777777" w:rsidR="009E6F26" w:rsidRPr="0092153F" w:rsidRDefault="009E6F26" w:rsidP="0092153F">
            <w:pPr>
              <w:autoSpaceDE w:val="0"/>
              <w:autoSpaceDN w:val="0"/>
              <w:adjustRightInd w:val="0"/>
              <w:ind w:left="60" w:right="60"/>
              <w:jc w:val="both"/>
              <w:rPr>
                <w:szCs w:val="24"/>
              </w:rPr>
            </w:pPr>
            <w:r w:rsidRPr="0092153F">
              <w:rPr>
                <w:szCs w:val="24"/>
                <w:lang w:val="en"/>
              </w:rPr>
              <w:t>55.61</w:t>
            </w:r>
          </w:p>
        </w:tc>
        <w:tc>
          <w:tcPr>
            <w:tcW w:w="1417" w:type="dxa"/>
          </w:tcPr>
          <w:p w14:paraId="1EAB3108" w14:textId="77777777" w:rsidR="009E6F26" w:rsidRPr="0092153F" w:rsidRDefault="009E6F26" w:rsidP="0092153F">
            <w:pPr>
              <w:autoSpaceDE w:val="0"/>
              <w:autoSpaceDN w:val="0"/>
              <w:adjustRightInd w:val="0"/>
              <w:ind w:left="60" w:right="60"/>
              <w:jc w:val="both"/>
              <w:rPr>
                <w:szCs w:val="24"/>
              </w:rPr>
            </w:pPr>
            <w:r w:rsidRPr="0092153F">
              <w:rPr>
                <w:szCs w:val="24"/>
                <w:lang w:val="en"/>
              </w:rPr>
              <w:t>74.96</w:t>
            </w:r>
          </w:p>
        </w:tc>
        <w:tc>
          <w:tcPr>
            <w:tcW w:w="1418" w:type="dxa"/>
          </w:tcPr>
          <w:p w14:paraId="2884C72A" w14:textId="77777777" w:rsidR="009E6F26" w:rsidRPr="0092153F" w:rsidRDefault="009E6F26" w:rsidP="0092153F">
            <w:pPr>
              <w:autoSpaceDE w:val="0"/>
              <w:autoSpaceDN w:val="0"/>
              <w:adjustRightInd w:val="0"/>
              <w:ind w:left="60" w:right="60"/>
              <w:jc w:val="both"/>
              <w:rPr>
                <w:szCs w:val="24"/>
              </w:rPr>
            </w:pPr>
            <w:r w:rsidRPr="0092153F">
              <w:rPr>
                <w:szCs w:val="24"/>
                <w:lang w:val="en"/>
              </w:rPr>
              <w:t>64.9443</w:t>
            </w:r>
          </w:p>
        </w:tc>
        <w:tc>
          <w:tcPr>
            <w:tcW w:w="2268" w:type="dxa"/>
          </w:tcPr>
          <w:p w14:paraId="08D96623" w14:textId="77777777" w:rsidR="009E6F26" w:rsidRPr="0092153F" w:rsidRDefault="009E6F26" w:rsidP="0092153F">
            <w:pPr>
              <w:autoSpaceDE w:val="0"/>
              <w:autoSpaceDN w:val="0"/>
              <w:adjustRightInd w:val="0"/>
              <w:ind w:left="60" w:right="60"/>
              <w:jc w:val="both"/>
              <w:rPr>
                <w:szCs w:val="24"/>
              </w:rPr>
            </w:pPr>
            <w:bookmarkStart w:id="8" w:name="_Hlk114674822"/>
            <w:r w:rsidRPr="0092153F">
              <w:rPr>
                <w:szCs w:val="24"/>
                <w:lang w:val="en"/>
              </w:rPr>
              <w:t>4.37632</w:t>
            </w:r>
            <w:bookmarkEnd w:id="8"/>
          </w:p>
        </w:tc>
      </w:tr>
      <w:tr w:rsidR="00380B6B" w:rsidRPr="0092153F" w14:paraId="4CCCF91C" w14:textId="77777777" w:rsidTr="009C344E">
        <w:trPr>
          <w:trHeight w:val="231"/>
        </w:trPr>
        <w:tc>
          <w:tcPr>
            <w:tcW w:w="2587" w:type="dxa"/>
          </w:tcPr>
          <w:p w14:paraId="2562020C" w14:textId="7C467E9B" w:rsidR="009E6F26" w:rsidRPr="0092153F" w:rsidRDefault="00EA11C6" w:rsidP="0092153F">
            <w:pPr>
              <w:autoSpaceDE w:val="0"/>
              <w:autoSpaceDN w:val="0"/>
              <w:adjustRightInd w:val="0"/>
              <w:ind w:left="60" w:right="60"/>
              <w:jc w:val="both"/>
              <w:rPr>
                <w:szCs w:val="24"/>
              </w:rPr>
            </w:pPr>
            <w:r>
              <w:rPr>
                <w:szCs w:val="24"/>
                <w:lang w:val="en"/>
              </w:rPr>
              <w:t>BUDGET REFOCUSING</w:t>
            </w:r>
          </w:p>
        </w:tc>
        <w:tc>
          <w:tcPr>
            <w:tcW w:w="863" w:type="dxa"/>
          </w:tcPr>
          <w:p w14:paraId="3BF5491F" w14:textId="77777777" w:rsidR="009E6F26" w:rsidRPr="0092153F" w:rsidRDefault="009E6F26" w:rsidP="0092153F">
            <w:pPr>
              <w:autoSpaceDE w:val="0"/>
              <w:autoSpaceDN w:val="0"/>
              <w:adjustRightInd w:val="0"/>
              <w:ind w:left="60" w:right="60"/>
              <w:jc w:val="both"/>
              <w:rPr>
                <w:szCs w:val="24"/>
              </w:rPr>
            </w:pPr>
            <w:r w:rsidRPr="0092153F">
              <w:rPr>
                <w:szCs w:val="24"/>
                <w:lang w:val="en"/>
              </w:rPr>
              <w:t>70</w:t>
            </w:r>
          </w:p>
        </w:tc>
        <w:tc>
          <w:tcPr>
            <w:tcW w:w="1365" w:type="dxa"/>
          </w:tcPr>
          <w:p w14:paraId="4C02FE08" w14:textId="77777777" w:rsidR="009E6F26" w:rsidRPr="0092153F" w:rsidRDefault="009E6F26" w:rsidP="0092153F">
            <w:pPr>
              <w:autoSpaceDE w:val="0"/>
              <w:autoSpaceDN w:val="0"/>
              <w:adjustRightInd w:val="0"/>
              <w:ind w:left="60" w:right="60"/>
              <w:jc w:val="both"/>
              <w:rPr>
                <w:szCs w:val="24"/>
              </w:rPr>
            </w:pPr>
            <w:r w:rsidRPr="0092153F">
              <w:rPr>
                <w:szCs w:val="24"/>
                <w:lang w:val="en"/>
              </w:rPr>
              <w:t>.00</w:t>
            </w:r>
          </w:p>
        </w:tc>
        <w:tc>
          <w:tcPr>
            <w:tcW w:w="1417" w:type="dxa"/>
          </w:tcPr>
          <w:p w14:paraId="29D85598" w14:textId="77777777" w:rsidR="009E6F26" w:rsidRPr="0092153F" w:rsidRDefault="009E6F26" w:rsidP="0092153F">
            <w:pPr>
              <w:autoSpaceDE w:val="0"/>
              <w:autoSpaceDN w:val="0"/>
              <w:adjustRightInd w:val="0"/>
              <w:ind w:left="60" w:right="60"/>
              <w:jc w:val="both"/>
              <w:rPr>
                <w:szCs w:val="24"/>
              </w:rPr>
            </w:pPr>
            <w:r w:rsidRPr="0092153F">
              <w:rPr>
                <w:szCs w:val="24"/>
                <w:lang w:val="en"/>
              </w:rPr>
              <w:t>2241143592000.00</w:t>
            </w:r>
          </w:p>
        </w:tc>
        <w:tc>
          <w:tcPr>
            <w:tcW w:w="1418" w:type="dxa"/>
          </w:tcPr>
          <w:p w14:paraId="6B587624" w14:textId="77777777" w:rsidR="009E6F26" w:rsidRPr="0092153F" w:rsidRDefault="009E6F26" w:rsidP="0092153F">
            <w:pPr>
              <w:autoSpaceDE w:val="0"/>
              <w:autoSpaceDN w:val="0"/>
              <w:adjustRightInd w:val="0"/>
              <w:ind w:left="60" w:right="60"/>
              <w:jc w:val="both"/>
              <w:rPr>
                <w:szCs w:val="24"/>
              </w:rPr>
            </w:pPr>
            <w:r w:rsidRPr="0092153F">
              <w:rPr>
                <w:szCs w:val="24"/>
                <w:lang w:val="en"/>
              </w:rPr>
              <w:t>182941412540.1142</w:t>
            </w:r>
          </w:p>
        </w:tc>
        <w:tc>
          <w:tcPr>
            <w:tcW w:w="2268" w:type="dxa"/>
          </w:tcPr>
          <w:p w14:paraId="3BB93FAF" w14:textId="77777777" w:rsidR="009E6F26" w:rsidRPr="0092153F" w:rsidRDefault="009E6F26" w:rsidP="0092153F">
            <w:pPr>
              <w:autoSpaceDE w:val="0"/>
              <w:autoSpaceDN w:val="0"/>
              <w:adjustRightInd w:val="0"/>
              <w:ind w:left="60" w:right="60"/>
              <w:jc w:val="both"/>
              <w:rPr>
                <w:szCs w:val="24"/>
              </w:rPr>
            </w:pPr>
            <w:r w:rsidRPr="0092153F">
              <w:rPr>
                <w:szCs w:val="24"/>
                <w:lang w:val="en"/>
              </w:rPr>
              <w:t>302590714394.26874</w:t>
            </w:r>
          </w:p>
        </w:tc>
      </w:tr>
      <w:tr w:rsidR="00380B6B" w:rsidRPr="0092153F" w14:paraId="2AA042DA" w14:textId="77777777" w:rsidTr="009C344E">
        <w:trPr>
          <w:trHeight w:val="107"/>
        </w:trPr>
        <w:tc>
          <w:tcPr>
            <w:tcW w:w="2587" w:type="dxa"/>
          </w:tcPr>
          <w:p w14:paraId="6E7D8D85" w14:textId="77777777" w:rsidR="009E6F26" w:rsidRPr="0092153F" w:rsidRDefault="009E6F26" w:rsidP="0092153F">
            <w:pPr>
              <w:autoSpaceDE w:val="0"/>
              <w:autoSpaceDN w:val="0"/>
              <w:adjustRightInd w:val="0"/>
              <w:ind w:left="60" w:right="60"/>
              <w:jc w:val="both"/>
              <w:rPr>
                <w:szCs w:val="24"/>
              </w:rPr>
            </w:pPr>
            <w:r w:rsidRPr="0092153F">
              <w:rPr>
                <w:szCs w:val="24"/>
                <w:lang w:val="en"/>
              </w:rPr>
              <w:t>Valid N (listwise)</w:t>
            </w:r>
          </w:p>
        </w:tc>
        <w:tc>
          <w:tcPr>
            <w:tcW w:w="863" w:type="dxa"/>
          </w:tcPr>
          <w:p w14:paraId="61AB2C2A" w14:textId="77777777" w:rsidR="009E6F26" w:rsidRPr="0092153F" w:rsidRDefault="009E6F26" w:rsidP="0092153F">
            <w:pPr>
              <w:autoSpaceDE w:val="0"/>
              <w:autoSpaceDN w:val="0"/>
              <w:adjustRightInd w:val="0"/>
              <w:ind w:left="60" w:right="60"/>
              <w:jc w:val="both"/>
              <w:rPr>
                <w:szCs w:val="24"/>
              </w:rPr>
            </w:pPr>
            <w:r w:rsidRPr="0092153F">
              <w:rPr>
                <w:szCs w:val="24"/>
                <w:lang w:val="en"/>
              </w:rPr>
              <w:t>70</w:t>
            </w:r>
          </w:p>
        </w:tc>
        <w:tc>
          <w:tcPr>
            <w:tcW w:w="1365" w:type="dxa"/>
          </w:tcPr>
          <w:p w14:paraId="7ECA230B" w14:textId="77777777" w:rsidR="009E6F26" w:rsidRPr="0092153F" w:rsidRDefault="009E6F26" w:rsidP="0092153F">
            <w:pPr>
              <w:autoSpaceDE w:val="0"/>
              <w:autoSpaceDN w:val="0"/>
              <w:adjustRightInd w:val="0"/>
              <w:jc w:val="both"/>
              <w:rPr>
                <w:szCs w:val="24"/>
              </w:rPr>
            </w:pPr>
          </w:p>
        </w:tc>
        <w:tc>
          <w:tcPr>
            <w:tcW w:w="1417" w:type="dxa"/>
          </w:tcPr>
          <w:p w14:paraId="2BAF4A65" w14:textId="77777777" w:rsidR="009E6F26" w:rsidRPr="0092153F" w:rsidRDefault="009E6F26" w:rsidP="0092153F">
            <w:pPr>
              <w:autoSpaceDE w:val="0"/>
              <w:autoSpaceDN w:val="0"/>
              <w:adjustRightInd w:val="0"/>
              <w:jc w:val="both"/>
              <w:rPr>
                <w:szCs w:val="24"/>
              </w:rPr>
            </w:pPr>
          </w:p>
        </w:tc>
        <w:tc>
          <w:tcPr>
            <w:tcW w:w="1418" w:type="dxa"/>
          </w:tcPr>
          <w:p w14:paraId="7EC5BFA8" w14:textId="77777777" w:rsidR="009E6F26" w:rsidRPr="0092153F" w:rsidRDefault="009E6F26" w:rsidP="0092153F">
            <w:pPr>
              <w:autoSpaceDE w:val="0"/>
              <w:autoSpaceDN w:val="0"/>
              <w:adjustRightInd w:val="0"/>
              <w:jc w:val="both"/>
              <w:rPr>
                <w:szCs w:val="24"/>
              </w:rPr>
            </w:pPr>
          </w:p>
        </w:tc>
        <w:tc>
          <w:tcPr>
            <w:tcW w:w="2268" w:type="dxa"/>
          </w:tcPr>
          <w:p w14:paraId="03568E5D" w14:textId="77777777" w:rsidR="009E6F26" w:rsidRPr="0092153F" w:rsidRDefault="009E6F26" w:rsidP="0092153F">
            <w:pPr>
              <w:autoSpaceDE w:val="0"/>
              <w:autoSpaceDN w:val="0"/>
              <w:adjustRightInd w:val="0"/>
              <w:jc w:val="both"/>
              <w:rPr>
                <w:szCs w:val="24"/>
              </w:rPr>
            </w:pPr>
          </w:p>
        </w:tc>
      </w:tr>
    </w:tbl>
    <w:bookmarkEnd w:id="6"/>
    <w:p w14:paraId="4CFDABF7" w14:textId="266056CE" w:rsidR="009E6F26" w:rsidRPr="005B65BD" w:rsidRDefault="005B65BD" w:rsidP="005B65BD">
      <w:pPr>
        <w:pStyle w:val="ListParagraph"/>
        <w:numPr>
          <w:ilvl w:val="0"/>
          <w:numId w:val="9"/>
        </w:numPr>
        <w:jc w:val="both"/>
        <w:rPr>
          <w:szCs w:val="24"/>
        </w:rPr>
      </w:pPr>
      <w:r>
        <w:rPr>
          <w:szCs w:val="24"/>
        </w:rPr>
        <w:t xml:space="preserve">Local Revenue variable has a minimum value of </w:t>
      </w:r>
      <w:r w:rsidRPr="0092153F">
        <w:rPr>
          <w:szCs w:val="24"/>
          <w:lang w:val="en"/>
        </w:rPr>
        <w:t>212</w:t>
      </w:r>
      <w:r w:rsidR="00EE2395">
        <w:rPr>
          <w:szCs w:val="24"/>
          <w:lang w:val="en"/>
        </w:rPr>
        <w:t>,</w:t>
      </w:r>
      <w:r w:rsidRPr="0092153F">
        <w:rPr>
          <w:szCs w:val="24"/>
          <w:lang w:val="en"/>
        </w:rPr>
        <w:t>777</w:t>
      </w:r>
      <w:r w:rsidR="00EE2395">
        <w:rPr>
          <w:szCs w:val="24"/>
          <w:lang w:val="en"/>
        </w:rPr>
        <w:t>,</w:t>
      </w:r>
      <w:r w:rsidRPr="0092153F">
        <w:rPr>
          <w:szCs w:val="24"/>
          <w:lang w:val="en"/>
        </w:rPr>
        <w:t>435</w:t>
      </w:r>
      <w:r w:rsidR="00EE2395">
        <w:rPr>
          <w:szCs w:val="24"/>
          <w:lang w:val="en"/>
        </w:rPr>
        <w:t>,</w:t>
      </w:r>
      <w:r w:rsidRPr="0092153F">
        <w:rPr>
          <w:szCs w:val="24"/>
          <w:lang w:val="en"/>
        </w:rPr>
        <w:t>294.00</w:t>
      </w:r>
      <w:r>
        <w:rPr>
          <w:szCs w:val="24"/>
          <w:lang w:val="en"/>
        </w:rPr>
        <w:t xml:space="preserve"> from </w:t>
      </w:r>
      <w:proofErr w:type="spellStart"/>
      <w:r>
        <w:rPr>
          <w:szCs w:val="24"/>
          <w:lang w:val="en"/>
        </w:rPr>
        <w:t>Pekalongan</w:t>
      </w:r>
      <w:proofErr w:type="spellEnd"/>
      <w:r>
        <w:rPr>
          <w:szCs w:val="24"/>
          <w:lang w:val="en"/>
        </w:rPr>
        <w:t xml:space="preserve"> City in 2019 and a maximum value of </w:t>
      </w:r>
      <w:r w:rsidR="00EE2395" w:rsidRPr="0092153F">
        <w:rPr>
          <w:szCs w:val="24"/>
          <w:lang w:val="en"/>
        </w:rPr>
        <w:t>2</w:t>
      </w:r>
      <w:r w:rsidR="00EE2395">
        <w:rPr>
          <w:szCs w:val="24"/>
          <w:lang w:val="en"/>
        </w:rPr>
        <w:t>,</w:t>
      </w:r>
      <w:r w:rsidR="00EE2395" w:rsidRPr="0092153F">
        <w:rPr>
          <w:szCs w:val="24"/>
          <w:lang w:val="en"/>
        </w:rPr>
        <w:t>066</w:t>
      </w:r>
      <w:r w:rsidR="00EE2395">
        <w:rPr>
          <w:szCs w:val="24"/>
          <w:lang w:val="en"/>
        </w:rPr>
        <w:t>,</w:t>
      </w:r>
      <w:r w:rsidR="00EE2395" w:rsidRPr="0092153F">
        <w:rPr>
          <w:szCs w:val="24"/>
          <w:lang w:val="en"/>
        </w:rPr>
        <w:t>333</w:t>
      </w:r>
      <w:r w:rsidR="00EE2395">
        <w:rPr>
          <w:szCs w:val="24"/>
          <w:lang w:val="en"/>
        </w:rPr>
        <w:t>,</w:t>
      </w:r>
      <w:r w:rsidR="00EE2395" w:rsidRPr="0092153F">
        <w:rPr>
          <w:szCs w:val="24"/>
          <w:lang w:val="en"/>
        </w:rPr>
        <w:t>418</w:t>
      </w:r>
      <w:r w:rsidR="00EE2395">
        <w:rPr>
          <w:szCs w:val="24"/>
          <w:lang w:val="en"/>
        </w:rPr>
        <w:t>,</w:t>
      </w:r>
      <w:r w:rsidR="00EE2395" w:rsidRPr="0092153F">
        <w:rPr>
          <w:szCs w:val="24"/>
          <w:lang w:val="en"/>
        </w:rPr>
        <w:t>588.00</w:t>
      </w:r>
      <w:r w:rsidR="00EE2395">
        <w:rPr>
          <w:szCs w:val="24"/>
          <w:lang w:val="en"/>
        </w:rPr>
        <w:t xml:space="preserve"> from Semarang City in 2019,a mean </w:t>
      </w:r>
      <w:r w:rsidR="00EE2395" w:rsidRPr="0092153F">
        <w:rPr>
          <w:szCs w:val="24"/>
          <w:lang w:val="en"/>
        </w:rPr>
        <w:t>40</w:t>
      </w:r>
      <w:r w:rsidR="00EE2395">
        <w:rPr>
          <w:szCs w:val="24"/>
          <w:lang w:val="en"/>
        </w:rPr>
        <w:t>,</w:t>
      </w:r>
      <w:r w:rsidR="00EE2395" w:rsidRPr="0092153F">
        <w:rPr>
          <w:szCs w:val="24"/>
          <w:lang w:val="en"/>
        </w:rPr>
        <w:t>8545</w:t>
      </w:r>
      <w:r w:rsidR="00EE2395">
        <w:rPr>
          <w:szCs w:val="24"/>
          <w:lang w:val="en"/>
        </w:rPr>
        <w:t>,</w:t>
      </w:r>
      <w:r w:rsidR="00EE2395" w:rsidRPr="0092153F">
        <w:rPr>
          <w:szCs w:val="24"/>
          <w:lang w:val="en"/>
        </w:rPr>
        <w:t>999</w:t>
      </w:r>
      <w:r w:rsidR="00EE2395">
        <w:rPr>
          <w:szCs w:val="24"/>
          <w:lang w:val="en"/>
        </w:rPr>
        <w:t>,</w:t>
      </w:r>
      <w:r w:rsidR="00EE2395" w:rsidRPr="0092153F">
        <w:rPr>
          <w:szCs w:val="24"/>
          <w:lang w:val="en"/>
        </w:rPr>
        <w:t>876.0143</w:t>
      </w:r>
      <w:r w:rsidR="00EE2395">
        <w:rPr>
          <w:szCs w:val="24"/>
          <w:lang w:val="en"/>
        </w:rPr>
        <w:t xml:space="preserve"> and a standard deviation value of </w:t>
      </w:r>
      <w:r w:rsidR="00EE2395" w:rsidRPr="0092153F">
        <w:rPr>
          <w:szCs w:val="24"/>
          <w:lang w:val="en"/>
        </w:rPr>
        <w:t>299</w:t>
      </w:r>
      <w:r w:rsidR="00EE2395">
        <w:rPr>
          <w:szCs w:val="24"/>
          <w:lang w:val="en"/>
        </w:rPr>
        <w:t>,</w:t>
      </w:r>
      <w:r w:rsidR="00EE2395" w:rsidRPr="0092153F">
        <w:rPr>
          <w:szCs w:val="24"/>
          <w:lang w:val="en"/>
        </w:rPr>
        <w:t>511</w:t>
      </w:r>
      <w:r w:rsidR="00EE2395">
        <w:rPr>
          <w:szCs w:val="24"/>
          <w:lang w:val="en"/>
        </w:rPr>
        <w:t>,</w:t>
      </w:r>
      <w:r w:rsidR="00EE2395" w:rsidRPr="0092153F">
        <w:rPr>
          <w:szCs w:val="24"/>
          <w:lang w:val="en"/>
        </w:rPr>
        <w:t>038</w:t>
      </w:r>
      <w:r w:rsidR="00EE2395">
        <w:rPr>
          <w:szCs w:val="24"/>
          <w:lang w:val="en"/>
        </w:rPr>
        <w:t>,</w:t>
      </w:r>
      <w:r w:rsidR="00EE2395" w:rsidRPr="0092153F">
        <w:rPr>
          <w:szCs w:val="24"/>
          <w:lang w:val="en"/>
        </w:rPr>
        <w:t>432.77057</w:t>
      </w:r>
    </w:p>
    <w:p w14:paraId="2FEEA337" w14:textId="5C8D9C4B" w:rsidR="00660694" w:rsidRPr="0092153F" w:rsidRDefault="009E6F26" w:rsidP="0092153F">
      <w:pPr>
        <w:pStyle w:val="ListParagraph"/>
        <w:numPr>
          <w:ilvl w:val="0"/>
          <w:numId w:val="9"/>
        </w:numPr>
        <w:jc w:val="both"/>
        <w:rPr>
          <w:szCs w:val="24"/>
          <w:lang w:val="en-ID"/>
        </w:rPr>
      </w:pPr>
      <w:r w:rsidRPr="0092153F">
        <w:rPr>
          <w:szCs w:val="24"/>
          <w:lang w:val="en"/>
        </w:rPr>
        <w:lastRenderedPageBreak/>
        <w:t xml:space="preserve">The Capital Expenditure variable has a minimum value of 102,083,054,523.00 from </w:t>
      </w:r>
      <w:proofErr w:type="spellStart"/>
      <w:r w:rsidRPr="0092153F">
        <w:rPr>
          <w:szCs w:val="24"/>
          <w:lang w:val="en"/>
        </w:rPr>
        <w:t>Temanggung</w:t>
      </w:r>
      <w:proofErr w:type="spellEnd"/>
      <w:r w:rsidRPr="0092153F">
        <w:rPr>
          <w:szCs w:val="24"/>
          <w:lang w:val="en"/>
        </w:rPr>
        <w:t xml:space="preserve"> Regency in 2020 and a maximum value of 1,054,761,429,772.00 from Semarang City in 2019, a mean of 319,000,268,561,0001 and a standard deviation value of 155,312,708,715,96270.</w:t>
      </w:r>
    </w:p>
    <w:p w14:paraId="3FB1C449" w14:textId="7D7BC23B" w:rsidR="009E6F26" w:rsidRPr="0092153F" w:rsidRDefault="009E6F26" w:rsidP="0092153F">
      <w:pPr>
        <w:pStyle w:val="ListParagraph"/>
        <w:numPr>
          <w:ilvl w:val="0"/>
          <w:numId w:val="9"/>
        </w:numPr>
        <w:jc w:val="both"/>
        <w:rPr>
          <w:szCs w:val="24"/>
          <w:lang w:val="en-ID"/>
        </w:rPr>
      </w:pPr>
      <w:r w:rsidRPr="0092153F">
        <w:rPr>
          <w:szCs w:val="24"/>
          <w:lang w:val="en"/>
        </w:rPr>
        <w:t xml:space="preserve">The Infrastructure Financing Variable has a minimum value of 14,746,387,201.00 from </w:t>
      </w:r>
      <w:proofErr w:type="spellStart"/>
      <w:r w:rsidRPr="0092153F">
        <w:rPr>
          <w:szCs w:val="24"/>
          <w:lang w:val="en"/>
        </w:rPr>
        <w:t>Temanggung</w:t>
      </w:r>
      <w:proofErr w:type="spellEnd"/>
      <w:r w:rsidRPr="0092153F">
        <w:rPr>
          <w:szCs w:val="24"/>
          <w:lang w:val="en"/>
        </w:rPr>
        <w:t xml:space="preserve"> Regency in 2020 and a maximum value of 403,203,658,651.00 from </w:t>
      </w:r>
      <w:proofErr w:type="spellStart"/>
      <w:r w:rsidRPr="0092153F">
        <w:rPr>
          <w:szCs w:val="24"/>
          <w:lang w:val="en"/>
        </w:rPr>
        <w:t>Wonogiri</w:t>
      </w:r>
      <w:proofErr w:type="spellEnd"/>
      <w:r w:rsidRPr="0092153F">
        <w:rPr>
          <w:szCs w:val="24"/>
          <w:lang w:val="en"/>
        </w:rPr>
        <w:t xml:space="preserve"> Regency in 2019, a mean value of 127,512,222,008,3286 and a standard deviation value of 84,287,893,369.71979.</w:t>
      </w:r>
    </w:p>
    <w:p w14:paraId="0FD75011" w14:textId="6B0ABC80" w:rsidR="009E6F26" w:rsidRPr="0092153F" w:rsidRDefault="009E6F26" w:rsidP="0092153F">
      <w:pPr>
        <w:pStyle w:val="ListParagraph"/>
        <w:numPr>
          <w:ilvl w:val="0"/>
          <w:numId w:val="9"/>
        </w:numPr>
        <w:jc w:val="both"/>
        <w:rPr>
          <w:szCs w:val="24"/>
          <w:lang w:val="en-ID"/>
        </w:rPr>
      </w:pPr>
      <w:r w:rsidRPr="0092153F">
        <w:rPr>
          <w:szCs w:val="24"/>
          <w:lang w:val="en"/>
        </w:rPr>
        <w:t xml:space="preserve">The </w:t>
      </w:r>
      <w:r w:rsidR="00213767">
        <w:rPr>
          <w:szCs w:val="24"/>
          <w:lang w:val="en"/>
        </w:rPr>
        <w:t xml:space="preserve">Performance </w:t>
      </w:r>
      <w:r w:rsidRPr="0092153F">
        <w:rPr>
          <w:szCs w:val="24"/>
          <w:lang w:val="en"/>
        </w:rPr>
        <w:t>Accountability</w:t>
      </w:r>
      <w:r w:rsidR="00213767">
        <w:rPr>
          <w:szCs w:val="24"/>
          <w:lang w:val="en"/>
        </w:rPr>
        <w:t xml:space="preserve"> System</w:t>
      </w:r>
      <w:r w:rsidRPr="0092153F">
        <w:rPr>
          <w:szCs w:val="24"/>
          <w:lang w:val="en"/>
        </w:rPr>
        <w:t xml:space="preserve"> Variable has a minimum value of 55.61 from </w:t>
      </w:r>
      <w:proofErr w:type="spellStart"/>
      <w:r w:rsidRPr="0092153F">
        <w:rPr>
          <w:szCs w:val="24"/>
          <w:lang w:val="en"/>
        </w:rPr>
        <w:t>Jepara</w:t>
      </w:r>
      <w:proofErr w:type="spellEnd"/>
      <w:r w:rsidRPr="0092153F">
        <w:rPr>
          <w:szCs w:val="24"/>
          <w:lang w:val="en"/>
        </w:rPr>
        <w:t xml:space="preserve"> Regency in 2020 and a maximum value of 74.96 from </w:t>
      </w:r>
      <w:proofErr w:type="spellStart"/>
      <w:r w:rsidRPr="0092153F">
        <w:rPr>
          <w:szCs w:val="24"/>
          <w:lang w:val="en"/>
        </w:rPr>
        <w:t>Banyumas</w:t>
      </w:r>
      <w:proofErr w:type="spellEnd"/>
      <w:r w:rsidRPr="0092153F">
        <w:rPr>
          <w:szCs w:val="24"/>
          <w:lang w:val="en"/>
        </w:rPr>
        <w:t xml:space="preserve"> Regency in 2020, a mean of 64.9443 and a standard deviation value of 4.37632.</w:t>
      </w:r>
    </w:p>
    <w:p w14:paraId="27BDBCDC" w14:textId="12A3D926" w:rsidR="000210ED" w:rsidRPr="00E712CA" w:rsidRDefault="00213767" w:rsidP="0092153F">
      <w:pPr>
        <w:pStyle w:val="ListParagraph"/>
        <w:numPr>
          <w:ilvl w:val="0"/>
          <w:numId w:val="9"/>
        </w:numPr>
        <w:jc w:val="both"/>
        <w:rPr>
          <w:szCs w:val="24"/>
          <w:lang w:val="en-ID"/>
        </w:rPr>
      </w:pPr>
      <w:r>
        <w:rPr>
          <w:szCs w:val="24"/>
          <w:lang w:val="en"/>
        </w:rPr>
        <w:t xml:space="preserve">The Budget Refocusing </w:t>
      </w:r>
      <w:r w:rsidR="009E6F26" w:rsidRPr="0092153F">
        <w:rPr>
          <w:szCs w:val="24"/>
          <w:lang w:val="en"/>
        </w:rPr>
        <w:t xml:space="preserve">Variable has a minimum value of 0.00 from </w:t>
      </w:r>
      <w:proofErr w:type="spellStart"/>
      <w:r w:rsidR="009E6F26" w:rsidRPr="0092153F">
        <w:rPr>
          <w:szCs w:val="24"/>
          <w:lang w:val="en"/>
        </w:rPr>
        <w:t>Jepara</w:t>
      </w:r>
      <w:proofErr w:type="spellEnd"/>
      <w:r w:rsidR="009E6F26" w:rsidRPr="0092153F">
        <w:rPr>
          <w:szCs w:val="24"/>
          <w:lang w:val="en"/>
        </w:rPr>
        <w:t xml:space="preserve"> Regency, </w:t>
      </w:r>
      <w:proofErr w:type="spellStart"/>
      <w:r w:rsidR="009E6F26" w:rsidRPr="0092153F">
        <w:rPr>
          <w:szCs w:val="24"/>
          <w:lang w:val="en"/>
        </w:rPr>
        <w:t>Boyolali</w:t>
      </w:r>
      <w:proofErr w:type="spellEnd"/>
      <w:r w:rsidR="009E6F26" w:rsidRPr="0092153F">
        <w:rPr>
          <w:szCs w:val="24"/>
          <w:lang w:val="en"/>
        </w:rPr>
        <w:t xml:space="preserve"> Regency, </w:t>
      </w:r>
      <w:proofErr w:type="spellStart"/>
      <w:r w:rsidR="009E6F26" w:rsidRPr="0092153F">
        <w:rPr>
          <w:szCs w:val="24"/>
          <w:lang w:val="en"/>
        </w:rPr>
        <w:t>Wonosobo</w:t>
      </w:r>
      <w:proofErr w:type="spellEnd"/>
      <w:r w:rsidR="009E6F26" w:rsidRPr="0092153F">
        <w:rPr>
          <w:szCs w:val="24"/>
          <w:lang w:val="en"/>
        </w:rPr>
        <w:t xml:space="preserve"> Regency, </w:t>
      </w:r>
      <w:proofErr w:type="spellStart"/>
      <w:r w:rsidR="009E6F26" w:rsidRPr="0092153F">
        <w:rPr>
          <w:szCs w:val="24"/>
          <w:lang w:val="en"/>
        </w:rPr>
        <w:t>Tegal</w:t>
      </w:r>
      <w:proofErr w:type="spellEnd"/>
      <w:r w:rsidR="009E6F26" w:rsidRPr="0092153F">
        <w:rPr>
          <w:szCs w:val="24"/>
          <w:lang w:val="en"/>
        </w:rPr>
        <w:t xml:space="preserve"> City and </w:t>
      </w:r>
      <w:proofErr w:type="spellStart"/>
      <w:r w:rsidR="009E6F26" w:rsidRPr="0092153F">
        <w:rPr>
          <w:szCs w:val="24"/>
          <w:lang w:val="en"/>
        </w:rPr>
        <w:t>Pekalongan</w:t>
      </w:r>
      <w:proofErr w:type="spellEnd"/>
      <w:r w:rsidR="009E6F26" w:rsidRPr="0092153F">
        <w:rPr>
          <w:szCs w:val="24"/>
          <w:lang w:val="en"/>
        </w:rPr>
        <w:t xml:space="preserve"> City in 2019 and a maximum value of 2,241,143,592,000.00 from </w:t>
      </w:r>
      <w:proofErr w:type="spellStart"/>
      <w:r w:rsidR="009E6F26" w:rsidRPr="0092153F">
        <w:rPr>
          <w:szCs w:val="24"/>
          <w:lang w:val="en"/>
        </w:rPr>
        <w:t>Sukoharjo</w:t>
      </w:r>
      <w:proofErr w:type="spellEnd"/>
      <w:r w:rsidR="009E6F26" w:rsidRPr="0092153F">
        <w:rPr>
          <w:szCs w:val="24"/>
          <w:lang w:val="en"/>
        </w:rPr>
        <w:t xml:space="preserve"> Regency in 2020, a mean value of 182,941,412,540,1142 and a standard deviation value of 302,590,714,394,26874.</w:t>
      </w:r>
    </w:p>
    <w:p w14:paraId="66A7395F" w14:textId="77777777" w:rsidR="000210ED" w:rsidRPr="0092153F" w:rsidRDefault="000210ED" w:rsidP="0092153F">
      <w:pPr>
        <w:jc w:val="both"/>
        <w:rPr>
          <w:szCs w:val="24"/>
          <w:lang w:val="en-ID"/>
        </w:rPr>
      </w:pPr>
    </w:p>
    <w:p w14:paraId="1D992C50" w14:textId="0844022A" w:rsidR="008451DC" w:rsidRPr="00E0069E" w:rsidRDefault="006570BA" w:rsidP="0092153F">
      <w:pPr>
        <w:pStyle w:val="ListParagraph"/>
        <w:jc w:val="both"/>
        <w:rPr>
          <w:b/>
          <w:bCs/>
          <w:szCs w:val="24"/>
          <w:lang w:val="en-ID"/>
        </w:rPr>
      </w:pPr>
      <w:r w:rsidRPr="00E0069E">
        <w:rPr>
          <w:b/>
          <w:bCs/>
          <w:szCs w:val="24"/>
          <w:lang w:val="en"/>
        </w:rPr>
        <w:t>Normality Test</w:t>
      </w:r>
    </w:p>
    <w:p w14:paraId="2D5DCF5A" w14:textId="4F5C28E1" w:rsidR="009E6F26" w:rsidRPr="0092153F" w:rsidRDefault="009E6F26" w:rsidP="0092153F">
      <w:pPr>
        <w:pStyle w:val="ListParagraph"/>
        <w:jc w:val="both"/>
        <w:rPr>
          <w:szCs w:val="24"/>
          <w:lang w:val="en-ID"/>
        </w:rPr>
      </w:pPr>
      <w:r w:rsidRPr="0092153F">
        <w:rPr>
          <w:szCs w:val="24"/>
          <w:lang w:val="en"/>
        </w:rPr>
        <w:t xml:space="preserve">Normality of </w:t>
      </w:r>
      <w:proofErr w:type="spellStart"/>
      <w:r w:rsidRPr="0092153F">
        <w:rPr>
          <w:szCs w:val="24"/>
          <w:lang w:val="en"/>
        </w:rPr>
        <w:t>Kolmogrov</w:t>
      </w:r>
      <w:proofErr w:type="spellEnd"/>
      <w:r w:rsidRPr="0092153F">
        <w:rPr>
          <w:szCs w:val="24"/>
          <w:lang w:val="en"/>
        </w:rPr>
        <w:t xml:space="preserve"> Smirnov</w:t>
      </w:r>
    </w:p>
    <w:p w14:paraId="534BA480" w14:textId="5E876722" w:rsidR="00FE0173" w:rsidRDefault="00FE0173" w:rsidP="0092153F">
      <w:pPr>
        <w:pStyle w:val="ListParagraph"/>
        <w:jc w:val="both"/>
        <w:rPr>
          <w:szCs w:val="24"/>
          <w:lang w:val="en-ID"/>
        </w:rPr>
      </w:pPr>
    </w:p>
    <w:p w14:paraId="0B8C74DF" w14:textId="01C56A40" w:rsidR="00446EFF" w:rsidRPr="0092153F" w:rsidRDefault="00446EFF" w:rsidP="0092153F">
      <w:pPr>
        <w:pStyle w:val="ListParagraph"/>
        <w:jc w:val="both"/>
        <w:rPr>
          <w:szCs w:val="24"/>
          <w:lang w:val="en-ID"/>
        </w:rPr>
      </w:pPr>
      <w:r w:rsidRPr="00446EFF">
        <w:rPr>
          <w:noProof/>
        </w:rPr>
        <w:drawing>
          <wp:inline distT="0" distB="0" distL="0" distR="0" wp14:anchorId="47F3C6F7" wp14:editId="04436F57">
            <wp:extent cx="5734050"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1257300"/>
                    </a:xfrm>
                    <a:prstGeom prst="rect">
                      <a:avLst/>
                    </a:prstGeom>
                    <a:noFill/>
                    <a:ln>
                      <a:noFill/>
                    </a:ln>
                  </pic:spPr>
                </pic:pic>
              </a:graphicData>
            </a:graphic>
          </wp:inline>
        </w:drawing>
      </w:r>
    </w:p>
    <w:p w14:paraId="0EF5DF40" w14:textId="65DD18BE" w:rsidR="009E6F26" w:rsidRDefault="00ED48BC" w:rsidP="0092153F">
      <w:pPr>
        <w:jc w:val="both"/>
        <w:rPr>
          <w:szCs w:val="24"/>
          <w:lang w:val="en"/>
        </w:rPr>
      </w:pPr>
      <w:r w:rsidRPr="00ED48BC">
        <w:rPr>
          <w:szCs w:val="24"/>
          <w:lang w:val="en"/>
        </w:rPr>
        <w:t xml:space="preserve">Based on the table above, it is known that the results of the normality test using the One-Sample </w:t>
      </w:r>
      <w:proofErr w:type="spellStart"/>
      <w:r w:rsidRPr="00ED48BC">
        <w:rPr>
          <w:szCs w:val="24"/>
          <w:lang w:val="en"/>
        </w:rPr>
        <w:t>Kolmogrov</w:t>
      </w:r>
      <w:proofErr w:type="spellEnd"/>
      <w:r w:rsidRPr="00ED48BC">
        <w:rPr>
          <w:szCs w:val="24"/>
          <w:lang w:val="en"/>
        </w:rPr>
        <w:t xml:space="preserve">-Smirnov Test show an </w:t>
      </w:r>
      <w:proofErr w:type="spellStart"/>
      <w:r w:rsidRPr="00ED48BC">
        <w:rPr>
          <w:szCs w:val="24"/>
          <w:lang w:val="en"/>
        </w:rPr>
        <w:t>Asymp</w:t>
      </w:r>
      <w:proofErr w:type="spellEnd"/>
      <w:r w:rsidRPr="00ED48BC">
        <w:rPr>
          <w:szCs w:val="24"/>
          <w:lang w:val="en"/>
        </w:rPr>
        <w:t xml:space="preserve"> Sig (2-tailed) value of 0.200 &gt; 0.05 this shows that the data above is distributed normally.</w:t>
      </w:r>
    </w:p>
    <w:p w14:paraId="6E0B0FCE" w14:textId="77777777" w:rsidR="00ED48BC" w:rsidRPr="0092153F" w:rsidRDefault="00ED48BC" w:rsidP="0092153F">
      <w:pPr>
        <w:jc w:val="both"/>
        <w:rPr>
          <w:szCs w:val="24"/>
          <w:lang w:val="id"/>
        </w:rPr>
      </w:pPr>
    </w:p>
    <w:p w14:paraId="79EDF499" w14:textId="288D166E" w:rsidR="008451DC" w:rsidRPr="0092153F" w:rsidRDefault="008451DC" w:rsidP="0092153F">
      <w:pPr>
        <w:ind w:firstLine="360"/>
        <w:jc w:val="both"/>
        <w:rPr>
          <w:b/>
          <w:bCs/>
          <w:szCs w:val="24"/>
          <w:lang w:val="en-ID"/>
        </w:rPr>
      </w:pPr>
      <w:r w:rsidRPr="0092153F">
        <w:rPr>
          <w:b/>
          <w:bCs/>
          <w:szCs w:val="24"/>
          <w:lang w:val="en"/>
        </w:rPr>
        <w:tab/>
      </w:r>
      <w:r w:rsidR="00956076" w:rsidRPr="0092153F">
        <w:rPr>
          <w:b/>
          <w:bCs/>
          <w:szCs w:val="24"/>
          <w:lang w:val="en"/>
        </w:rPr>
        <w:t xml:space="preserve">REGRESSION TEST RESULTS </w:t>
      </w:r>
    </w:p>
    <w:p w14:paraId="5FBEC446" w14:textId="347CA0C6" w:rsidR="00956076" w:rsidRPr="0092153F" w:rsidRDefault="00956076" w:rsidP="0092153F">
      <w:pPr>
        <w:ind w:firstLine="360"/>
        <w:jc w:val="both"/>
        <w:rPr>
          <w:szCs w:val="24"/>
          <w:lang w:val="en-ID"/>
        </w:rPr>
      </w:pPr>
    </w:p>
    <w:p w14:paraId="60DB8DAB" w14:textId="0EF24BFC" w:rsidR="00956076" w:rsidRPr="0092153F" w:rsidRDefault="00927177" w:rsidP="0092153F">
      <w:pPr>
        <w:pStyle w:val="ListParagraph"/>
        <w:numPr>
          <w:ilvl w:val="0"/>
          <w:numId w:val="16"/>
        </w:numPr>
        <w:jc w:val="both"/>
        <w:rPr>
          <w:rStyle w:val="tlid-translation"/>
          <w:szCs w:val="24"/>
        </w:rPr>
      </w:pPr>
      <w:r>
        <w:rPr>
          <w:rStyle w:val="tlid-translation"/>
          <w:szCs w:val="24"/>
          <w:lang w:val="en"/>
        </w:rPr>
        <w:t>Effect of Local Revenue</w:t>
      </w:r>
      <w:r w:rsidR="00956076" w:rsidRPr="0092153F">
        <w:rPr>
          <w:rStyle w:val="tlid-translation"/>
          <w:szCs w:val="24"/>
          <w:lang w:val="en"/>
        </w:rPr>
        <w:t xml:space="preserve"> (X) on Capital Expenditure (Y1)</w:t>
      </w:r>
    </w:p>
    <w:p w14:paraId="61D6C624" w14:textId="52F1F242" w:rsidR="00956076" w:rsidRPr="0092153F" w:rsidRDefault="00956076" w:rsidP="0092153F">
      <w:pPr>
        <w:jc w:val="both"/>
        <w:rPr>
          <w:rStyle w:val="tlid-translation"/>
          <w:b/>
          <w:bCs/>
          <w:szCs w:val="24"/>
          <w:lang w:val="id"/>
        </w:rPr>
      </w:pPr>
      <w:r w:rsidRPr="0092153F">
        <w:rPr>
          <w:rStyle w:val="tlid-translation"/>
          <w:szCs w:val="24"/>
          <w:lang w:val="en"/>
        </w:rPr>
        <w:t xml:space="preserve">The calculation results from the table above obtained the significance value of Capital Expenditure of 0.000 &lt; 0.05 and the calculated t value of &gt; t table (6,316 &gt; 1,996) which means that Capital Expenditure has a positive </w:t>
      </w:r>
      <w:r w:rsidR="00A40556">
        <w:rPr>
          <w:rStyle w:val="tlid-translation"/>
          <w:szCs w:val="24"/>
          <w:lang w:val="en"/>
        </w:rPr>
        <w:t>and significant effect on Local Revenue</w:t>
      </w:r>
      <w:r w:rsidRPr="0092153F">
        <w:rPr>
          <w:rStyle w:val="tlid-translation"/>
          <w:szCs w:val="24"/>
          <w:lang w:val="en"/>
        </w:rPr>
        <w:t xml:space="preserve">.  The results of this study support </w:t>
      </w:r>
      <w:proofErr w:type="spellStart"/>
      <w:r w:rsidRPr="0092153F">
        <w:rPr>
          <w:rStyle w:val="tlid-translation"/>
          <w:szCs w:val="24"/>
          <w:lang w:val="en"/>
        </w:rPr>
        <w:t>Nabukeera</w:t>
      </w:r>
      <w:proofErr w:type="spellEnd"/>
      <w:r w:rsidRPr="0092153F">
        <w:rPr>
          <w:rStyle w:val="tlid-translation"/>
          <w:szCs w:val="24"/>
          <w:lang w:val="en"/>
        </w:rPr>
        <w:t xml:space="preserve"> Medina's resear</w:t>
      </w:r>
      <w:r w:rsidR="00A40556">
        <w:rPr>
          <w:rStyle w:val="tlid-translation"/>
          <w:szCs w:val="24"/>
          <w:lang w:val="en"/>
        </w:rPr>
        <w:t>ch in 2021 which states that Local Revenue</w:t>
      </w:r>
      <w:r w:rsidRPr="0092153F">
        <w:rPr>
          <w:rStyle w:val="tlid-translation"/>
          <w:szCs w:val="24"/>
          <w:lang w:val="en"/>
        </w:rPr>
        <w:t xml:space="preserve"> has a positive effect on Capital Expenditure and this is in line with Ishak's r</w:t>
      </w:r>
      <w:r w:rsidR="00A40556">
        <w:rPr>
          <w:rStyle w:val="tlid-translation"/>
          <w:szCs w:val="24"/>
          <w:lang w:val="en"/>
        </w:rPr>
        <w:t>esearch in 2022 stating that Local Revenue</w:t>
      </w:r>
      <w:r w:rsidRPr="0092153F">
        <w:rPr>
          <w:rStyle w:val="tlid-translation"/>
          <w:szCs w:val="24"/>
          <w:lang w:val="en"/>
        </w:rPr>
        <w:t xml:space="preserve"> has a positive effect on Capital Expenditure.  Thus, the first hypothesis stating that Local Revenue has a positive effect ,</w:t>
      </w:r>
      <w:r w:rsidRPr="0092153F">
        <w:rPr>
          <w:rStyle w:val="tlid-translation"/>
          <w:b/>
          <w:bCs/>
          <w:szCs w:val="24"/>
          <w:lang w:val="en"/>
        </w:rPr>
        <w:t>accepted</w:t>
      </w:r>
    </w:p>
    <w:p w14:paraId="263CE40C" w14:textId="32CE3C74" w:rsidR="00956076" w:rsidRDefault="00956076" w:rsidP="0092153F">
      <w:pPr>
        <w:jc w:val="both"/>
        <w:rPr>
          <w:rStyle w:val="tlid-translation"/>
          <w:szCs w:val="24"/>
          <w:lang w:val="id"/>
        </w:rPr>
      </w:pPr>
    </w:p>
    <w:p w14:paraId="2CF20A14" w14:textId="5C79763C" w:rsidR="00E712CA" w:rsidRDefault="00E712CA" w:rsidP="0092153F">
      <w:pPr>
        <w:jc w:val="both"/>
        <w:rPr>
          <w:rStyle w:val="tlid-translation"/>
          <w:szCs w:val="24"/>
          <w:lang w:val="id"/>
        </w:rPr>
      </w:pPr>
    </w:p>
    <w:p w14:paraId="3AB9B4E3" w14:textId="015D412F" w:rsidR="00E712CA" w:rsidRDefault="00E712CA" w:rsidP="0092153F">
      <w:pPr>
        <w:jc w:val="both"/>
        <w:rPr>
          <w:rStyle w:val="tlid-translation"/>
          <w:szCs w:val="24"/>
          <w:lang w:val="id"/>
        </w:rPr>
      </w:pPr>
    </w:p>
    <w:p w14:paraId="719A5DF2" w14:textId="77777777" w:rsidR="00E712CA" w:rsidRPr="0092153F" w:rsidRDefault="00E712CA" w:rsidP="0092153F">
      <w:pPr>
        <w:jc w:val="both"/>
        <w:rPr>
          <w:rStyle w:val="tlid-translation"/>
          <w:szCs w:val="24"/>
          <w:lang w:val="id"/>
        </w:rPr>
      </w:pPr>
    </w:p>
    <w:p w14:paraId="077C37EF" w14:textId="63ED3E34" w:rsidR="00956076" w:rsidRPr="0092153F" w:rsidRDefault="00A40556" w:rsidP="0092153F">
      <w:pPr>
        <w:pStyle w:val="ListParagraph"/>
        <w:numPr>
          <w:ilvl w:val="0"/>
          <w:numId w:val="15"/>
        </w:numPr>
        <w:jc w:val="both"/>
        <w:rPr>
          <w:rStyle w:val="tlid-translation"/>
          <w:szCs w:val="24"/>
        </w:rPr>
      </w:pPr>
      <w:r>
        <w:rPr>
          <w:rStyle w:val="tlid-translation"/>
          <w:szCs w:val="24"/>
          <w:lang w:val="en"/>
        </w:rPr>
        <w:lastRenderedPageBreak/>
        <w:t>Effect of Local Revenue</w:t>
      </w:r>
      <w:r w:rsidR="00956076" w:rsidRPr="0092153F">
        <w:rPr>
          <w:rStyle w:val="tlid-translation"/>
          <w:szCs w:val="24"/>
          <w:lang w:val="en"/>
        </w:rPr>
        <w:t xml:space="preserve"> (X) on Infrastructure Financing (Y2)</w:t>
      </w:r>
    </w:p>
    <w:p w14:paraId="42782ACA" w14:textId="7673FB89" w:rsidR="006446AE" w:rsidRPr="0092153F" w:rsidRDefault="00956076" w:rsidP="0092153F">
      <w:pPr>
        <w:jc w:val="both"/>
        <w:rPr>
          <w:szCs w:val="24"/>
        </w:rPr>
      </w:pPr>
      <w:r w:rsidRPr="0092153F">
        <w:rPr>
          <w:szCs w:val="24"/>
          <w:lang w:val="en"/>
        </w:rPr>
        <w:t xml:space="preserve">The calculation results from the table above obtained the significance value of Infrastructure Financing of 0.044 &lt; 0.05 and the value of t count </w:t>
      </w:r>
      <w:r w:rsidR="000461C6">
        <w:rPr>
          <w:szCs w:val="24"/>
          <w:lang w:val="en"/>
        </w:rPr>
        <w:t>&gt;</w:t>
      </w:r>
      <w:r w:rsidRPr="0092153F">
        <w:rPr>
          <w:szCs w:val="24"/>
          <w:lang w:val="en"/>
        </w:rPr>
        <w:t xml:space="preserve"> t table (2,056 </w:t>
      </w:r>
      <w:r w:rsidR="000461C6">
        <w:rPr>
          <w:szCs w:val="24"/>
          <w:lang w:val="en"/>
        </w:rPr>
        <w:t>&gt;</w:t>
      </w:r>
      <w:r w:rsidRPr="0092153F">
        <w:rPr>
          <w:szCs w:val="24"/>
          <w:lang w:val="en"/>
        </w:rPr>
        <w:t xml:space="preserve"> 1,996) which means that Infrastructure Financing ha</w:t>
      </w:r>
      <w:r w:rsidR="00DA4E41">
        <w:rPr>
          <w:szCs w:val="24"/>
          <w:lang w:val="en"/>
        </w:rPr>
        <w:t>ve</w:t>
      </w:r>
      <w:r w:rsidRPr="0092153F">
        <w:rPr>
          <w:szCs w:val="24"/>
          <w:lang w:val="en"/>
        </w:rPr>
        <w:t xml:space="preserve"> a positive significant </w:t>
      </w:r>
      <w:r w:rsidR="00B93D34">
        <w:rPr>
          <w:szCs w:val="24"/>
          <w:lang w:val="en"/>
        </w:rPr>
        <w:t>impact</w:t>
      </w:r>
      <w:r w:rsidR="00405EE4">
        <w:rPr>
          <w:szCs w:val="24"/>
          <w:lang w:val="en"/>
        </w:rPr>
        <w:t xml:space="preserve"> on Regional</w:t>
      </w:r>
      <w:r w:rsidRPr="0092153F">
        <w:rPr>
          <w:szCs w:val="24"/>
          <w:lang w:val="en"/>
        </w:rPr>
        <w:t xml:space="preserve"> Income. The results of this study support the research conducted by </w:t>
      </w:r>
      <w:proofErr w:type="spellStart"/>
      <w:r w:rsidRPr="0092153F">
        <w:rPr>
          <w:szCs w:val="24"/>
          <w:lang w:val="en"/>
        </w:rPr>
        <w:t>Setyowati</w:t>
      </w:r>
      <w:proofErr w:type="spellEnd"/>
      <w:r w:rsidRPr="0092153F">
        <w:rPr>
          <w:szCs w:val="24"/>
          <w:lang w:val="en"/>
        </w:rPr>
        <w:t xml:space="preserve"> and </w:t>
      </w:r>
      <w:proofErr w:type="spellStart"/>
      <w:r w:rsidRPr="0092153F">
        <w:rPr>
          <w:szCs w:val="24"/>
          <w:lang w:val="en"/>
        </w:rPr>
        <w:t>Himawa</w:t>
      </w:r>
      <w:r w:rsidR="00405EE4">
        <w:rPr>
          <w:szCs w:val="24"/>
          <w:lang w:val="en"/>
        </w:rPr>
        <w:t>n</w:t>
      </w:r>
      <w:proofErr w:type="spellEnd"/>
      <w:r w:rsidR="00405EE4">
        <w:rPr>
          <w:szCs w:val="24"/>
          <w:lang w:val="en"/>
        </w:rPr>
        <w:t xml:space="preserve"> in 2021 which states that Local Revenue</w:t>
      </w:r>
      <w:r w:rsidRPr="0092153F">
        <w:rPr>
          <w:szCs w:val="24"/>
          <w:lang w:val="en"/>
        </w:rPr>
        <w:t xml:space="preserve"> has a positive effect on short-term infrastructure.  </w:t>
      </w:r>
    </w:p>
    <w:p w14:paraId="437A9208" w14:textId="170E6EDD" w:rsidR="00956076" w:rsidRPr="0092153F" w:rsidRDefault="00956076" w:rsidP="0092153F">
      <w:pPr>
        <w:jc w:val="both"/>
        <w:rPr>
          <w:b/>
          <w:bCs/>
          <w:szCs w:val="24"/>
          <w:lang w:val="en-ID"/>
        </w:rPr>
      </w:pPr>
      <w:r w:rsidRPr="0092153F">
        <w:rPr>
          <w:szCs w:val="24"/>
          <w:lang w:val="en"/>
        </w:rPr>
        <w:t xml:space="preserve">Thus, the second hypothesis stating that Local Revenue has a positive effect on </w:t>
      </w:r>
      <w:r w:rsidRPr="00115369">
        <w:rPr>
          <w:szCs w:val="24"/>
          <w:lang w:val="en"/>
        </w:rPr>
        <w:t>Capital Expenditure, is</w:t>
      </w:r>
      <w:r w:rsidRPr="0092153F">
        <w:rPr>
          <w:b/>
          <w:bCs/>
          <w:szCs w:val="24"/>
          <w:lang w:val="en"/>
        </w:rPr>
        <w:t xml:space="preserve"> accepted</w:t>
      </w:r>
    </w:p>
    <w:p w14:paraId="50411E50" w14:textId="77777777" w:rsidR="00956076" w:rsidRPr="0092153F" w:rsidRDefault="00956076" w:rsidP="0092153F">
      <w:pPr>
        <w:jc w:val="both"/>
        <w:rPr>
          <w:szCs w:val="24"/>
          <w:lang w:val="en-ID"/>
        </w:rPr>
      </w:pPr>
    </w:p>
    <w:p w14:paraId="6D34C1FF" w14:textId="2AFAD3AD" w:rsidR="00956076" w:rsidRPr="0092153F" w:rsidRDefault="00A31FB9" w:rsidP="0092153F">
      <w:pPr>
        <w:pStyle w:val="ListParagraph"/>
        <w:numPr>
          <w:ilvl w:val="0"/>
          <w:numId w:val="15"/>
        </w:numPr>
        <w:jc w:val="both"/>
        <w:rPr>
          <w:szCs w:val="24"/>
          <w:lang w:val="en-ID"/>
        </w:rPr>
      </w:pPr>
      <w:r>
        <w:rPr>
          <w:szCs w:val="24"/>
          <w:lang w:val="en"/>
        </w:rPr>
        <w:t>Effect of Local Revenue</w:t>
      </w:r>
      <w:r w:rsidR="00956076" w:rsidRPr="0092153F">
        <w:rPr>
          <w:szCs w:val="24"/>
          <w:lang w:val="en"/>
        </w:rPr>
        <w:t xml:space="preserve"> (X) on Accountability Performance (Y3)</w:t>
      </w:r>
    </w:p>
    <w:p w14:paraId="644DB038" w14:textId="3CF69448" w:rsidR="006446AE" w:rsidRPr="0092153F" w:rsidRDefault="00956076" w:rsidP="0092153F">
      <w:pPr>
        <w:jc w:val="both"/>
        <w:rPr>
          <w:szCs w:val="24"/>
          <w:lang w:val="en-ID"/>
        </w:rPr>
      </w:pPr>
      <w:r w:rsidRPr="0092153F">
        <w:rPr>
          <w:szCs w:val="24"/>
          <w:lang w:val="en"/>
        </w:rPr>
        <w:t xml:space="preserve">The calculation results from the table above obtained the significance value of Accountability Performance of 0.130 &gt; 0.05 and the value of t count &lt; t table (1,531 &lt; 1,996) which means that </w:t>
      </w:r>
      <w:r w:rsidR="00A31FB9">
        <w:rPr>
          <w:szCs w:val="24"/>
          <w:lang w:val="en"/>
        </w:rPr>
        <w:t>Local R</w:t>
      </w:r>
      <w:r w:rsidR="00F83558">
        <w:rPr>
          <w:szCs w:val="24"/>
          <w:lang w:val="en"/>
        </w:rPr>
        <w:t>evenue</w:t>
      </w:r>
      <w:r w:rsidR="00A31FB9">
        <w:rPr>
          <w:szCs w:val="24"/>
          <w:lang w:val="en"/>
        </w:rPr>
        <w:t xml:space="preserve"> </w:t>
      </w:r>
      <w:r w:rsidRPr="0092153F">
        <w:rPr>
          <w:szCs w:val="24"/>
          <w:lang w:val="en"/>
        </w:rPr>
        <w:t xml:space="preserve">has a negative and significant effect on </w:t>
      </w:r>
      <w:r w:rsidR="00F83558" w:rsidRPr="0092153F">
        <w:rPr>
          <w:szCs w:val="24"/>
          <w:lang w:val="en"/>
        </w:rPr>
        <w:t xml:space="preserve">Accountability Performance </w:t>
      </w:r>
      <w:r w:rsidR="00F83558">
        <w:rPr>
          <w:szCs w:val="24"/>
          <w:lang w:val="en"/>
        </w:rPr>
        <w:t>System</w:t>
      </w:r>
      <w:r w:rsidRPr="0092153F">
        <w:rPr>
          <w:szCs w:val="24"/>
          <w:lang w:val="en"/>
        </w:rPr>
        <w:t>.</w:t>
      </w:r>
    </w:p>
    <w:p w14:paraId="1C0332CC" w14:textId="52AB3259" w:rsidR="00956076" w:rsidRPr="0092153F" w:rsidRDefault="00956076" w:rsidP="0092153F">
      <w:pPr>
        <w:jc w:val="both"/>
        <w:rPr>
          <w:szCs w:val="24"/>
          <w:lang w:val="en-ID"/>
        </w:rPr>
      </w:pPr>
      <w:r w:rsidRPr="0092153F">
        <w:rPr>
          <w:szCs w:val="24"/>
          <w:lang w:val="en"/>
        </w:rPr>
        <w:t xml:space="preserve">Thus, the third hypothesis stating that Local Revenue negatively affects Accountability Performance, is </w:t>
      </w:r>
      <w:r w:rsidRPr="00115369">
        <w:rPr>
          <w:b/>
          <w:bCs/>
          <w:szCs w:val="24"/>
          <w:lang w:val="en"/>
        </w:rPr>
        <w:t>rejected</w:t>
      </w:r>
      <w:r w:rsidRPr="0092153F">
        <w:rPr>
          <w:b/>
          <w:bCs/>
          <w:szCs w:val="24"/>
          <w:lang w:val="en"/>
        </w:rPr>
        <w:t xml:space="preserve">. </w:t>
      </w:r>
      <w:r>
        <w:rPr>
          <w:lang w:val="en"/>
        </w:rPr>
        <w:t xml:space="preserve"> </w:t>
      </w:r>
      <w:r w:rsidR="003C6C45" w:rsidRPr="0092153F">
        <w:rPr>
          <w:szCs w:val="24"/>
          <w:lang w:val="en"/>
        </w:rPr>
        <w:t xml:space="preserve"> The results of this </w:t>
      </w:r>
      <w:r w:rsidR="008355C7">
        <w:rPr>
          <w:szCs w:val="24"/>
          <w:lang w:val="en"/>
        </w:rPr>
        <w:t>research</w:t>
      </w:r>
      <w:r w:rsidR="003C6C45" w:rsidRPr="0092153F">
        <w:rPr>
          <w:szCs w:val="24"/>
          <w:lang w:val="en"/>
        </w:rPr>
        <w:t xml:space="preserve"> are in line with Pierre Bourdieu's Habitus Theory, which when applied to budget practice considers that the financial resilience of local governments is determined by how capable the regions are in mapping needs and allocating resources on target (</w:t>
      </w:r>
      <w:proofErr w:type="spellStart"/>
      <w:r w:rsidR="003C6C45" w:rsidRPr="0092153F">
        <w:rPr>
          <w:noProof/>
          <w:szCs w:val="24"/>
          <w:lang w:val="en"/>
        </w:rPr>
        <w:t>Padovani</w:t>
      </w:r>
      <w:proofErr w:type="spellEnd"/>
      <w:r w:rsidR="003C6C45" w:rsidRPr="0092153F">
        <w:rPr>
          <w:noProof/>
          <w:szCs w:val="24"/>
          <w:lang w:val="en"/>
        </w:rPr>
        <w:t>, E., Iacuzzi, S., Jorge, S., &amp; Pimentel, L,2021)</w:t>
      </w:r>
      <w:r w:rsidR="003C6C45" w:rsidRPr="0092153F">
        <w:rPr>
          <w:szCs w:val="24"/>
          <w:lang w:val="en"/>
        </w:rPr>
        <w:t xml:space="preserve">  .  In the allocation process, the local government's view of the budget as an "arena" in the context of Pierre Bourdieu's Habitus theory became the main determinant for maintaining the performance of local government.  This is because in the budgeting process there is a tug-of-war of interests, and, parties who have stronger power relations will be the determinants of budget policy. The mindset of power relations holders is what will determine the direction of alignment of budget patterns in times of economic pressure.  If the allocation of the budget during a period of economic pressure prioritizes the interests of the community while still considering efficiency, effectiveness and economic level (</w:t>
      </w:r>
      <w:r w:rsidR="003C6C45" w:rsidRPr="0092153F">
        <w:rPr>
          <w:i/>
          <w:szCs w:val="24"/>
          <w:lang w:val="en"/>
        </w:rPr>
        <w:t>value for money oriented</w:t>
      </w:r>
      <w:r>
        <w:rPr>
          <w:lang w:val="en"/>
        </w:rPr>
        <w:t xml:space="preserve">), then the government's </w:t>
      </w:r>
      <w:r w:rsidR="003C6C45" w:rsidRPr="0092153F">
        <w:rPr>
          <w:szCs w:val="24"/>
          <w:lang w:val="en"/>
        </w:rPr>
        <w:t>financial resilience will still be maintained so that the government's performance does not decrease.  However, if it is the other way around, then the potential for a decrease in performance will be even greater (Ahrens &amp;</w:t>
      </w:r>
      <w:r>
        <w:rPr>
          <w:lang w:val="en"/>
        </w:rPr>
        <w:t xml:space="preserve">Ferry, 2020 </w:t>
      </w:r>
      <w:r w:rsidR="003C6C45" w:rsidRPr="0092153F">
        <w:rPr>
          <w:szCs w:val="24"/>
          <w:lang w:val="en"/>
        </w:rPr>
        <w:t xml:space="preserve">and </w:t>
      </w:r>
      <w:proofErr w:type="spellStart"/>
      <w:r w:rsidR="003C6C45" w:rsidRPr="0092153F">
        <w:rPr>
          <w:szCs w:val="24"/>
          <w:lang w:val="en"/>
        </w:rPr>
        <w:t>Borroy</w:t>
      </w:r>
      <w:proofErr w:type="spellEnd"/>
      <w:r w:rsidR="003C6C45" w:rsidRPr="0092153F">
        <w:rPr>
          <w:szCs w:val="24"/>
          <w:lang w:val="en"/>
        </w:rPr>
        <w:t>, 2020).</w:t>
      </w:r>
      <w:r>
        <w:rPr>
          <w:lang w:val="en"/>
        </w:rPr>
        <w:t xml:space="preserve"> </w:t>
      </w:r>
    </w:p>
    <w:p w14:paraId="48DEC0E6" w14:textId="122F3DF6" w:rsidR="003C6C45" w:rsidRPr="0092153F" w:rsidRDefault="003C6C45" w:rsidP="0092153F">
      <w:pPr>
        <w:jc w:val="both"/>
        <w:rPr>
          <w:b/>
          <w:bCs/>
          <w:szCs w:val="24"/>
          <w:lang w:val="en-ID"/>
        </w:rPr>
      </w:pPr>
      <w:r w:rsidRPr="0092153F">
        <w:rPr>
          <w:szCs w:val="24"/>
          <w:lang w:val="en"/>
        </w:rPr>
        <w:t xml:space="preserve">This research is in line with the results of a study from </w:t>
      </w:r>
      <w:proofErr w:type="spellStart"/>
      <w:r w:rsidRPr="0092153F">
        <w:rPr>
          <w:szCs w:val="24"/>
          <w:lang w:val="en"/>
        </w:rPr>
        <w:t>Ozili</w:t>
      </w:r>
      <w:proofErr w:type="spellEnd"/>
      <w:r w:rsidRPr="0092153F">
        <w:rPr>
          <w:szCs w:val="24"/>
          <w:lang w:val="en"/>
        </w:rPr>
        <w:t xml:space="preserve"> (2020) that used several African countries as a sample, which showed that the government's inability to maximize revenue had a serious impact on budget resilience as seen from the government's financial performance.</w:t>
      </w:r>
    </w:p>
    <w:p w14:paraId="41C089F6" w14:textId="77777777" w:rsidR="00956076" w:rsidRPr="0092153F" w:rsidRDefault="00956076" w:rsidP="0092153F">
      <w:pPr>
        <w:jc w:val="both"/>
        <w:rPr>
          <w:szCs w:val="24"/>
          <w:lang w:val="en-ID"/>
        </w:rPr>
      </w:pPr>
    </w:p>
    <w:p w14:paraId="127971A5" w14:textId="4D8378EC" w:rsidR="00956076" w:rsidRPr="0092153F" w:rsidRDefault="006431F1" w:rsidP="0092153F">
      <w:pPr>
        <w:pStyle w:val="ListParagraph"/>
        <w:numPr>
          <w:ilvl w:val="0"/>
          <w:numId w:val="15"/>
        </w:numPr>
        <w:jc w:val="both"/>
        <w:rPr>
          <w:szCs w:val="24"/>
          <w:lang w:val="en-ID"/>
        </w:rPr>
      </w:pPr>
      <w:r>
        <w:rPr>
          <w:szCs w:val="24"/>
          <w:lang w:val="en"/>
        </w:rPr>
        <w:t>Effect of Local Revenue(X) on Budget Refocusing</w:t>
      </w:r>
      <w:r w:rsidR="00956076" w:rsidRPr="0092153F">
        <w:rPr>
          <w:szCs w:val="24"/>
          <w:lang w:val="en"/>
        </w:rPr>
        <w:t xml:space="preserve"> (Y4)</w:t>
      </w:r>
    </w:p>
    <w:p w14:paraId="58098129" w14:textId="30EB0BFD" w:rsidR="00956076" w:rsidRPr="0092153F" w:rsidRDefault="00956076" w:rsidP="0092153F">
      <w:pPr>
        <w:jc w:val="both"/>
        <w:rPr>
          <w:rStyle w:val="tlid-translation"/>
          <w:szCs w:val="24"/>
          <w:lang w:val="en-ID"/>
        </w:rPr>
      </w:pPr>
      <w:r w:rsidRPr="0092153F">
        <w:rPr>
          <w:szCs w:val="24"/>
          <w:lang w:val="en"/>
        </w:rPr>
        <w:t xml:space="preserve">The calculation results from the table above obtained the significance value of the Budget Change of 0.022 &lt; 0.05 and the calculated t value of the </w:t>
      </w:r>
      <w:r w:rsidR="005A60F9">
        <w:rPr>
          <w:szCs w:val="24"/>
          <w:lang w:val="en"/>
        </w:rPr>
        <w:t>&gt;</w:t>
      </w:r>
      <w:r w:rsidRPr="0092153F">
        <w:rPr>
          <w:szCs w:val="24"/>
          <w:lang w:val="en"/>
        </w:rPr>
        <w:t xml:space="preserve"> t table (2,349 &gt; 1,997) which means that the </w:t>
      </w:r>
      <w:r w:rsidR="006431F1">
        <w:rPr>
          <w:szCs w:val="24"/>
          <w:lang w:val="en"/>
        </w:rPr>
        <w:t xml:space="preserve">Local </w:t>
      </w:r>
      <w:r w:rsidR="006431F1" w:rsidRPr="0092153F">
        <w:rPr>
          <w:szCs w:val="24"/>
          <w:lang w:val="en"/>
        </w:rPr>
        <w:t xml:space="preserve">Revenue </w:t>
      </w:r>
      <w:r w:rsidRPr="0092153F">
        <w:rPr>
          <w:szCs w:val="24"/>
          <w:lang w:val="en"/>
        </w:rPr>
        <w:t>has a positive signific</w:t>
      </w:r>
      <w:r w:rsidR="006431F1">
        <w:rPr>
          <w:szCs w:val="24"/>
          <w:lang w:val="en"/>
        </w:rPr>
        <w:t>ant effect on Budget Refocusing</w:t>
      </w:r>
      <w:r w:rsidRPr="0092153F">
        <w:rPr>
          <w:szCs w:val="24"/>
          <w:lang w:val="en"/>
        </w:rPr>
        <w:t xml:space="preserve">. . The results of this study support the 2021 </w:t>
      </w:r>
      <w:proofErr w:type="spellStart"/>
      <w:r w:rsidR="005A60F9">
        <w:rPr>
          <w:szCs w:val="24"/>
          <w:lang w:val="en"/>
        </w:rPr>
        <w:t>Khatulistiwa</w:t>
      </w:r>
      <w:proofErr w:type="spellEnd"/>
      <w:r w:rsidRPr="0092153F">
        <w:rPr>
          <w:szCs w:val="24"/>
          <w:lang w:val="en"/>
        </w:rPr>
        <w:t xml:space="preserve"> research </w:t>
      </w:r>
      <w:r w:rsidR="006431F1">
        <w:rPr>
          <w:szCs w:val="24"/>
          <w:lang w:val="en"/>
        </w:rPr>
        <w:t>which states that Local Revenue has</w:t>
      </w:r>
      <w:r w:rsidRPr="0092153F">
        <w:rPr>
          <w:szCs w:val="24"/>
          <w:lang w:val="en"/>
        </w:rPr>
        <w:t xml:space="preserve"> a </w:t>
      </w:r>
      <w:r w:rsidR="006431F1">
        <w:rPr>
          <w:szCs w:val="24"/>
          <w:lang w:val="en"/>
        </w:rPr>
        <w:t>positive effect on Budgeting Refocusing</w:t>
      </w:r>
      <w:r w:rsidRPr="0092153F">
        <w:rPr>
          <w:szCs w:val="24"/>
          <w:lang w:val="en"/>
        </w:rPr>
        <w:t xml:space="preserve">.  Thus, the fourth hypothesis stating that </w:t>
      </w:r>
      <w:r w:rsidR="00281E89">
        <w:rPr>
          <w:szCs w:val="24"/>
          <w:lang w:val="en"/>
        </w:rPr>
        <w:t xml:space="preserve">variable </w:t>
      </w:r>
      <w:r w:rsidRPr="0092153F">
        <w:rPr>
          <w:szCs w:val="24"/>
          <w:lang w:val="en"/>
        </w:rPr>
        <w:t>Local Revenue has a</w:t>
      </w:r>
      <w:r w:rsidR="00281E89">
        <w:rPr>
          <w:szCs w:val="24"/>
          <w:lang w:val="en"/>
        </w:rPr>
        <w:t xml:space="preserve"> </w:t>
      </w:r>
      <w:r w:rsidRPr="0092153F">
        <w:rPr>
          <w:szCs w:val="24"/>
          <w:lang w:val="en"/>
        </w:rPr>
        <w:t>p</w:t>
      </w:r>
      <w:r w:rsidR="006431F1">
        <w:rPr>
          <w:szCs w:val="24"/>
          <w:lang w:val="en"/>
        </w:rPr>
        <w:t>ositive effect on Budget Refocusing</w:t>
      </w:r>
      <w:r w:rsidRPr="0092153F">
        <w:rPr>
          <w:szCs w:val="24"/>
          <w:lang w:val="en"/>
        </w:rPr>
        <w:t xml:space="preserve">, is </w:t>
      </w:r>
      <w:r w:rsidRPr="00115369">
        <w:rPr>
          <w:b/>
          <w:bCs/>
          <w:szCs w:val="24"/>
          <w:lang w:val="en"/>
        </w:rPr>
        <w:t>accepted</w:t>
      </w:r>
      <w:r w:rsidRPr="0092153F">
        <w:rPr>
          <w:b/>
          <w:bCs/>
          <w:szCs w:val="24"/>
          <w:lang w:val="en"/>
        </w:rPr>
        <w:t>.</w:t>
      </w:r>
    </w:p>
    <w:p w14:paraId="4B3585F9" w14:textId="4A12FDC2" w:rsidR="00152F89" w:rsidRDefault="00152F89" w:rsidP="0092153F">
      <w:pPr>
        <w:jc w:val="both"/>
        <w:rPr>
          <w:szCs w:val="24"/>
          <w:lang w:val="en-ID"/>
        </w:rPr>
      </w:pPr>
    </w:p>
    <w:p w14:paraId="559DCF9F" w14:textId="2232DFEE" w:rsidR="00E712CA" w:rsidRDefault="00E712CA" w:rsidP="0092153F">
      <w:pPr>
        <w:jc w:val="both"/>
        <w:rPr>
          <w:szCs w:val="24"/>
          <w:lang w:val="en-ID"/>
        </w:rPr>
      </w:pPr>
    </w:p>
    <w:p w14:paraId="14C566C9" w14:textId="7404DEC5" w:rsidR="00E712CA" w:rsidRDefault="00E712CA" w:rsidP="0092153F">
      <w:pPr>
        <w:jc w:val="both"/>
        <w:rPr>
          <w:szCs w:val="24"/>
          <w:lang w:val="en-ID"/>
        </w:rPr>
      </w:pPr>
    </w:p>
    <w:p w14:paraId="79E31CC8" w14:textId="18D4102E" w:rsidR="00E712CA" w:rsidRDefault="00E712CA" w:rsidP="0092153F">
      <w:pPr>
        <w:jc w:val="both"/>
        <w:rPr>
          <w:szCs w:val="24"/>
          <w:lang w:val="en-ID"/>
        </w:rPr>
      </w:pPr>
    </w:p>
    <w:p w14:paraId="1A7D815D" w14:textId="77777777" w:rsidR="00E712CA" w:rsidRDefault="00E712CA" w:rsidP="0092153F">
      <w:pPr>
        <w:jc w:val="both"/>
        <w:rPr>
          <w:szCs w:val="24"/>
          <w:lang w:val="en-ID"/>
        </w:rPr>
      </w:pPr>
    </w:p>
    <w:p w14:paraId="5655C0E3" w14:textId="60AB6DDC" w:rsidR="00956076" w:rsidRPr="0092153F" w:rsidRDefault="00152F89" w:rsidP="0092153F">
      <w:pPr>
        <w:jc w:val="both"/>
        <w:rPr>
          <w:szCs w:val="24"/>
          <w:lang w:val="en-ID"/>
        </w:rPr>
      </w:pPr>
      <w:r>
        <w:rPr>
          <w:szCs w:val="24"/>
          <w:lang w:val="en-ID"/>
        </w:rPr>
        <w:lastRenderedPageBreak/>
        <w:t>Discussion</w:t>
      </w:r>
    </w:p>
    <w:p w14:paraId="157727D3" w14:textId="3EB74671" w:rsidR="008451DC" w:rsidRPr="0092153F" w:rsidRDefault="00152F89" w:rsidP="0092153F">
      <w:pPr>
        <w:pStyle w:val="ListParagraph"/>
        <w:numPr>
          <w:ilvl w:val="0"/>
          <w:numId w:val="17"/>
        </w:numPr>
        <w:jc w:val="both"/>
        <w:rPr>
          <w:szCs w:val="24"/>
          <w:lang w:val="en-ID"/>
        </w:rPr>
      </w:pPr>
      <w:r>
        <w:rPr>
          <w:szCs w:val="24"/>
          <w:lang w:val="en"/>
        </w:rPr>
        <w:t>Local Revenue effect</w:t>
      </w:r>
      <w:r w:rsidR="008451DC" w:rsidRPr="0092153F">
        <w:rPr>
          <w:szCs w:val="24"/>
          <w:lang w:val="en"/>
        </w:rPr>
        <w:t xml:space="preserve"> </w:t>
      </w:r>
      <w:r w:rsidR="000210ED">
        <w:rPr>
          <w:szCs w:val="24"/>
          <w:lang w:val="en"/>
        </w:rPr>
        <w:t>on</w:t>
      </w:r>
      <w:r w:rsidR="008451DC" w:rsidRPr="0092153F">
        <w:rPr>
          <w:szCs w:val="24"/>
          <w:lang w:val="en"/>
        </w:rPr>
        <w:t xml:space="preserve"> Cap</w:t>
      </w:r>
      <w:r w:rsidR="000210ED">
        <w:rPr>
          <w:szCs w:val="24"/>
          <w:lang w:val="en"/>
        </w:rPr>
        <w:t>ital Expenditure</w:t>
      </w:r>
    </w:p>
    <w:p w14:paraId="39EB38E1" w14:textId="0FF1EA2E" w:rsidR="008451DC" w:rsidRPr="0092153F" w:rsidRDefault="008451DC" w:rsidP="0092153F">
      <w:pPr>
        <w:ind w:firstLine="360"/>
        <w:jc w:val="both"/>
        <w:rPr>
          <w:szCs w:val="24"/>
          <w:lang w:val="en-ID"/>
        </w:rPr>
      </w:pPr>
    </w:p>
    <w:tbl>
      <w:tblPr>
        <w:tblW w:w="9512" w:type="dxa"/>
        <w:tblInd w:w="127" w:type="dxa"/>
        <w:tblBorders>
          <w:top w:val="single" w:sz="8" w:space="0" w:color="DFDFDF"/>
          <w:left w:val="single" w:sz="8" w:space="0" w:color="DFDFDF"/>
          <w:bottom w:val="single" w:sz="8" w:space="0" w:color="DFDFDF"/>
          <w:right w:val="single" w:sz="8" w:space="0" w:color="DFDFDF"/>
          <w:insideH w:val="single" w:sz="8" w:space="0" w:color="DFDFDF"/>
          <w:insideV w:val="single" w:sz="8" w:space="0" w:color="DFDFDF"/>
        </w:tblBorders>
        <w:tblLayout w:type="fixed"/>
        <w:tblCellMar>
          <w:left w:w="0" w:type="dxa"/>
          <w:right w:w="0" w:type="dxa"/>
        </w:tblCellMar>
        <w:tblLook w:val="01E0" w:firstRow="1" w:lastRow="1" w:firstColumn="1" w:lastColumn="1" w:noHBand="0" w:noVBand="0"/>
      </w:tblPr>
      <w:tblGrid>
        <w:gridCol w:w="853"/>
        <w:gridCol w:w="1370"/>
        <w:gridCol w:w="1710"/>
        <w:gridCol w:w="1712"/>
        <w:gridCol w:w="1599"/>
        <w:gridCol w:w="1134"/>
        <w:gridCol w:w="1134"/>
      </w:tblGrid>
      <w:tr w:rsidR="008451DC" w:rsidRPr="000210ED" w14:paraId="28CFD976" w14:textId="77777777" w:rsidTr="00C50168">
        <w:trPr>
          <w:trHeight w:val="675"/>
        </w:trPr>
        <w:tc>
          <w:tcPr>
            <w:tcW w:w="5645" w:type="dxa"/>
            <w:gridSpan w:val="4"/>
            <w:tcBorders>
              <w:top w:val="nil"/>
              <w:left w:val="nil"/>
              <w:bottom w:val="nil"/>
            </w:tcBorders>
          </w:tcPr>
          <w:p w14:paraId="395C5A28" w14:textId="77777777" w:rsidR="008451DC" w:rsidRPr="000210ED" w:rsidRDefault="008451DC" w:rsidP="0092153F">
            <w:pPr>
              <w:pStyle w:val="TableParagraph"/>
              <w:spacing w:before="0"/>
              <w:rPr>
                <w:rFonts w:ascii="Times New Roman" w:hAnsi="Times New Roman" w:cs="Times New Roman"/>
                <w:b/>
                <w:sz w:val="24"/>
                <w:szCs w:val="24"/>
              </w:rPr>
            </w:pPr>
          </w:p>
          <w:p w14:paraId="26FB9131" w14:textId="77777777" w:rsidR="008451DC" w:rsidRPr="000210ED" w:rsidRDefault="008451DC" w:rsidP="0092153F">
            <w:pPr>
              <w:pStyle w:val="TableParagraph"/>
              <w:spacing w:before="5"/>
              <w:rPr>
                <w:rFonts w:ascii="Times New Roman" w:hAnsi="Times New Roman" w:cs="Times New Roman"/>
                <w:b/>
                <w:sz w:val="24"/>
                <w:szCs w:val="24"/>
              </w:rPr>
            </w:pPr>
          </w:p>
          <w:p w14:paraId="1BFDC46B" w14:textId="77777777" w:rsidR="008451DC" w:rsidRPr="000210ED" w:rsidRDefault="008451DC" w:rsidP="0092153F">
            <w:pPr>
              <w:pStyle w:val="TableParagraph"/>
              <w:spacing w:before="0"/>
              <w:ind w:left="2265"/>
              <w:rPr>
                <w:rFonts w:ascii="Times New Roman" w:hAnsi="Times New Roman" w:cs="Times New Roman"/>
                <w:sz w:val="24"/>
                <w:szCs w:val="24"/>
              </w:rPr>
            </w:pPr>
            <w:r w:rsidRPr="000210ED">
              <w:rPr>
                <w:rFonts w:ascii="Times New Roman" w:hAnsi="Times New Roman" w:cs="Times New Roman"/>
                <w:color w:val="25495F"/>
                <w:sz w:val="24"/>
                <w:szCs w:val="24"/>
                <w:lang w:val="en"/>
              </w:rPr>
              <w:t>Non-Standard Coefficient</w:t>
            </w:r>
          </w:p>
        </w:tc>
        <w:tc>
          <w:tcPr>
            <w:tcW w:w="1599" w:type="dxa"/>
            <w:vMerge w:val="restart"/>
            <w:tcBorders>
              <w:top w:val="nil"/>
              <w:bottom w:val="single" w:sz="8" w:space="0" w:color="152935"/>
            </w:tcBorders>
          </w:tcPr>
          <w:p w14:paraId="7164F883" w14:textId="77777777" w:rsidR="008451DC" w:rsidRPr="000210ED" w:rsidRDefault="008451DC" w:rsidP="0092153F">
            <w:pPr>
              <w:pStyle w:val="TableParagraph"/>
              <w:spacing w:before="112"/>
              <w:ind w:left="197" w:right="195"/>
              <w:jc w:val="center"/>
              <w:rPr>
                <w:rFonts w:ascii="Times New Roman" w:hAnsi="Times New Roman" w:cs="Times New Roman"/>
                <w:sz w:val="24"/>
                <w:szCs w:val="24"/>
              </w:rPr>
            </w:pPr>
            <w:r w:rsidRPr="000210ED">
              <w:rPr>
                <w:rFonts w:ascii="Times New Roman" w:hAnsi="Times New Roman" w:cs="Times New Roman"/>
                <w:color w:val="25495F"/>
                <w:sz w:val="24"/>
                <w:szCs w:val="24"/>
                <w:lang w:val="en"/>
              </w:rPr>
              <w:t>Standard Coefficient</w:t>
            </w:r>
          </w:p>
          <w:p w14:paraId="499EA9E8" w14:textId="77777777" w:rsidR="008451DC" w:rsidRPr="000210ED" w:rsidRDefault="008451DC" w:rsidP="0092153F">
            <w:pPr>
              <w:pStyle w:val="TableParagraph"/>
              <w:spacing w:before="3"/>
              <w:ind w:left="195" w:right="195"/>
              <w:jc w:val="center"/>
              <w:rPr>
                <w:rFonts w:ascii="Times New Roman" w:hAnsi="Times New Roman" w:cs="Times New Roman"/>
                <w:sz w:val="24"/>
                <w:szCs w:val="24"/>
              </w:rPr>
            </w:pPr>
            <w:r w:rsidRPr="000210ED">
              <w:rPr>
                <w:rFonts w:ascii="Times New Roman" w:hAnsi="Times New Roman" w:cs="Times New Roman"/>
                <w:color w:val="25495F"/>
                <w:sz w:val="24"/>
                <w:szCs w:val="24"/>
                <w:lang w:val="en"/>
              </w:rPr>
              <w:t>Beta</w:t>
            </w:r>
          </w:p>
        </w:tc>
        <w:tc>
          <w:tcPr>
            <w:tcW w:w="1134" w:type="dxa"/>
            <w:vMerge w:val="restart"/>
            <w:tcBorders>
              <w:top w:val="nil"/>
              <w:bottom w:val="single" w:sz="8" w:space="0" w:color="152935"/>
            </w:tcBorders>
          </w:tcPr>
          <w:p w14:paraId="66E90DE8" w14:textId="77777777" w:rsidR="008451DC" w:rsidRPr="000210ED" w:rsidRDefault="008451DC" w:rsidP="0092153F">
            <w:pPr>
              <w:pStyle w:val="TableParagraph"/>
              <w:spacing w:before="0"/>
              <w:rPr>
                <w:rFonts w:ascii="Times New Roman" w:hAnsi="Times New Roman" w:cs="Times New Roman"/>
                <w:b/>
                <w:sz w:val="24"/>
                <w:szCs w:val="24"/>
              </w:rPr>
            </w:pPr>
          </w:p>
          <w:p w14:paraId="15C77B50" w14:textId="77777777" w:rsidR="008451DC" w:rsidRPr="000210ED" w:rsidRDefault="008451DC" w:rsidP="0092153F">
            <w:pPr>
              <w:pStyle w:val="TableParagraph"/>
              <w:spacing w:before="0"/>
              <w:rPr>
                <w:rFonts w:ascii="Times New Roman" w:hAnsi="Times New Roman" w:cs="Times New Roman"/>
                <w:b/>
                <w:sz w:val="24"/>
                <w:szCs w:val="24"/>
              </w:rPr>
            </w:pPr>
          </w:p>
          <w:p w14:paraId="20D27379" w14:textId="77777777" w:rsidR="008451DC" w:rsidRPr="000210ED" w:rsidRDefault="008451DC" w:rsidP="0092153F">
            <w:pPr>
              <w:pStyle w:val="TableParagraph"/>
              <w:spacing w:before="5"/>
              <w:rPr>
                <w:rFonts w:ascii="Times New Roman" w:hAnsi="Times New Roman" w:cs="Times New Roman"/>
                <w:b/>
                <w:sz w:val="24"/>
                <w:szCs w:val="24"/>
              </w:rPr>
            </w:pPr>
          </w:p>
          <w:p w14:paraId="44A4A067" w14:textId="77777777" w:rsidR="008451DC" w:rsidRPr="000210ED" w:rsidRDefault="008451DC" w:rsidP="0092153F">
            <w:pPr>
              <w:pStyle w:val="TableParagraph"/>
              <w:spacing w:before="0"/>
              <w:ind w:left="1"/>
              <w:jc w:val="center"/>
              <w:rPr>
                <w:rFonts w:ascii="Times New Roman" w:hAnsi="Times New Roman" w:cs="Times New Roman"/>
                <w:sz w:val="24"/>
                <w:szCs w:val="24"/>
              </w:rPr>
            </w:pPr>
            <w:r w:rsidRPr="000210ED">
              <w:rPr>
                <w:rFonts w:ascii="Times New Roman" w:hAnsi="Times New Roman" w:cs="Times New Roman"/>
                <w:color w:val="25495F"/>
                <w:sz w:val="24"/>
                <w:szCs w:val="24"/>
                <w:lang w:val="en"/>
              </w:rPr>
              <w:t>t</w:t>
            </w:r>
          </w:p>
        </w:tc>
        <w:tc>
          <w:tcPr>
            <w:tcW w:w="1134" w:type="dxa"/>
            <w:vMerge w:val="restart"/>
            <w:tcBorders>
              <w:top w:val="nil"/>
              <w:bottom w:val="single" w:sz="8" w:space="0" w:color="152935"/>
              <w:right w:val="nil"/>
            </w:tcBorders>
          </w:tcPr>
          <w:p w14:paraId="7AAA7923" w14:textId="77777777" w:rsidR="008451DC" w:rsidRPr="000210ED" w:rsidRDefault="008451DC" w:rsidP="0092153F">
            <w:pPr>
              <w:pStyle w:val="TableParagraph"/>
              <w:spacing w:before="0"/>
              <w:rPr>
                <w:rFonts w:ascii="Times New Roman" w:hAnsi="Times New Roman" w:cs="Times New Roman"/>
                <w:b/>
                <w:sz w:val="24"/>
                <w:szCs w:val="24"/>
              </w:rPr>
            </w:pPr>
          </w:p>
          <w:p w14:paraId="78F63F3A" w14:textId="77777777" w:rsidR="008451DC" w:rsidRPr="000210ED" w:rsidRDefault="008451DC" w:rsidP="0092153F">
            <w:pPr>
              <w:pStyle w:val="TableParagraph"/>
              <w:spacing w:before="0"/>
              <w:rPr>
                <w:rFonts w:ascii="Times New Roman" w:hAnsi="Times New Roman" w:cs="Times New Roman"/>
                <w:b/>
                <w:sz w:val="24"/>
                <w:szCs w:val="24"/>
              </w:rPr>
            </w:pPr>
          </w:p>
          <w:p w14:paraId="19E49CAB" w14:textId="77777777" w:rsidR="008451DC" w:rsidRPr="000210ED" w:rsidRDefault="008451DC" w:rsidP="0092153F">
            <w:pPr>
              <w:pStyle w:val="TableParagraph"/>
              <w:spacing w:before="5"/>
              <w:rPr>
                <w:rFonts w:ascii="Times New Roman" w:hAnsi="Times New Roman" w:cs="Times New Roman"/>
                <w:b/>
                <w:sz w:val="24"/>
                <w:szCs w:val="24"/>
              </w:rPr>
            </w:pPr>
          </w:p>
          <w:p w14:paraId="725B04B0" w14:textId="77777777" w:rsidR="008451DC" w:rsidRPr="000210ED" w:rsidRDefault="008451DC" w:rsidP="0092153F">
            <w:pPr>
              <w:pStyle w:val="TableParagraph"/>
              <w:spacing w:before="0"/>
              <w:ind w:left="334" w:right="331"/>
              <w:jc w:val="center"/>
              <w:rPr>
                <w:rFonts w:ascii="Times New Roman" w:hAnsi="Times New Roman" w:cs="Times New Roman"/>
                <w:sz w:val="24"/>
                <w:szCs w:val="24"/>
              </w:rPr>
            </w:pPr>
            <w:r w:rsidRPr="000210ED">
              <w:rPr>
                <w:rFonts w:ascii="Times New Roman" w:hAnsi="Times New Roman" w:cs="Times New Roman"/>
                <w:color w:val="25495F"/>
                <w:sz w:val="24"/>
                <w:szCs w:val="24"/>
                <w:lang w:val="en"/>
              </w:rPr>
              <w:t>Sig.</w:t>
            </w:r>
          </w:p>
        </w:tc>
      </w:tr>
      <w:tr w:rsidR="008451DC" w:rsidRPr="000210ED" w14:paraId="6824A48E" w14:textId="77777777" w:rsidTr="00C50168">
        <w:trPr>
          <w:trHeight w:val="331"/>
        </w:trPr>
        <w:tc>
          <w:tcPr>
            <w:tcW w:w="853" w:type="dxa"/>
            <w:tcBorders>
              <w:top w:val="nil"/>
              <w:left w:val="nil"/>
              <w:bottom w:val="single" w:sz="8" w:space="0" w:color="152935"/>
              <w:right w:val="nil"/>
            </w:tcBorders>
          </w:tcPr>
          <w:p w14:paraId="48D651B8" w14:textId="77777777" w:rsidR="008451DC" w:rsidRPr="000210ED" w:rsidRDefault="008451DC" w:rsidP="0092153F">
            <w:pPr>
              <w:pStyle w:val="TableParagraph"/>
              <w:spacing w:before="102"/>
              <w:ind w:left="60"/>
              <w:rPr>
                <w:rFonts w:ascii="Times New Roman" w:hAnsi="Times New Roman" w:cs="Times New Roman"/>
                <w:sz w:val="24"/>
                <w:szCs w:val="24"/>
              </w:rPr>
            </w:pPr>
            <w:r w:rsidRPr="000210ED">
              <w:rPr>
                <w:rFonts w:ascii="Times New Roman" w:hAnsi="Times New Roman" w:cs="Times New Roman"/>
                <w:color w:val="25495F"/>
                <w:sz w:val="24"/>
                <w:szCs w:val="24"/>
                <w:lang w:val="en"/>
              </w:rPr>
              <w:t>Pattern</w:t>
            </w:r>
          </w:p>
        </w:tc>
        <w:tc>
          <w:tcPr>
            <w:tcW w:w="1370" w:type="dxa"/>
            <w:tcBorders>
              <w:top w:val="nil"/>
              <w:left w:val="nil"/>
              <w:bottom w:val="single" w:sz="8" w:space="0" w:color="152935"/>
              <w:right w:val="nil"/>
            </w:tcBorders>
          </w:tcPr>
          <w:p w14:paraId="6109CF1E" w14:textId="77777777" w:rsidR="008451DC" w:rsidRPr="000210ED" w:rsidRDefault="008451DC" w:rsidP="0092153F">
            <w:pPr>
              <w:pStyle w:val="TableParagraph"/>
              <w:spacing w:before="0"/>
              <w:rPr>
                <w:rFonts w:ascii="Times New Roman" w:hAnsi="Times New Roman" w:cs="Times New Roman"/>
                <w:sz w:val="24"/>
                <w:szCs w:val="24"/>
              </w:rPr>
            </w:pPr>
          </w:p>
        </w:tc>
        <w:tc>
          <w:tcPr>
            <w:tcW w:w="1710" w:type="dxa"/>
            <w:tcBorders>
              <w:top w:val="nil"/>
              <w:left w:val="nil"/>
              <w:bottom w:val="single" w:sz="8" w:space="0" w:color="152935"/>
            </w:tcBorders>
          </w:tcPr>
          <w:p w14:paraId="505B927B" w14:textId="77777777" w:rsidR="008451DC" w:rsidRPr="000210ED" w:rsidRDefault="008451DC" w:rsidP="0092153F">
            <w:pPr>
              <w:pStyle w:val="TableParagraph"/>
              <w:spacing w:before="102"/>
              <w:jc w:val="center"/>
              <w:rPr>
                <w:rFonts w:ascii="Times New Roman" w:hAnsi="Times New Roman" w:cs="Times New Roman"/>
                <w:sz w:val="24"/>
                <w:szCs w:val="24"/>
              </w:rPr>
            </w:pPr>
            <w:r w:rsidRPr="000210ED">
              <w:rPr>
                <w:rFonts w:ascii="Times New Roman" w:hAnsi="Times New Roman" w:cs="Times New Roman"/>
                <w:color w:val="25495F"/>
                <w:sz w:val="24"/>
                <w:szCs w:val="24"/>
                <w:lang w:val="en"/>
              </w:rPr>
              <w:t>B</w:t>
            </w:r>
          </w:p>
        </w:tc>
        <w:tc>
          <w:tcPr>
            <w:tcW w:w="1712" w:type="dxa"/>
            <w:tcBorders>
              <w:top w:val="nil"/>
              <w:bottom w:val="single" w:sz="8" w:space="0" w:color="152935"/>
            </w:tcBorders>
          </w:tcPr>
          <w:p w14:paraId="640F57B1" w14:textId="77777777" w:rsidR="008451DC" w:rsidRPr="000210ED" w:rsidRDefault="008451DC" w:rsidP="0092153F">
            <w:pPr>
              <w:pStyle w:val="TableParagraph"/>
              <w:spacing w:before="102"/>
              <w:ind w:left="343"/>
              <w:rPr>
                <w:rFonts w:ascii="Times New Roman" w:hAnsi="Times New Roman" w:cs="Times New Roman"/>
                <w:sz w:val="24"/>
                <w:szCs w:val="24"/>
              </w:rPr>
            </w:pPr>
            <w:r w:rsidRPr="000210ED">
              <w:rPr>
                <w:rFonts w:ascii="Times New Roman" w:hAnsi="Times New Roman" w:cs="Times New Roman"/>
                <w:color w:val="25495F"/>
                <w:sz w:val="24"/>
                <w:szCs w:val="24"/>
                <w:lang w:val="en"/>
              </w:rPr>
              <w:t>Std. Error</w:t>
            </w:r>
          </w:p>
        </w:tc>
        <w:tc>
          <w:tcPr>
            <w:tcW w:w="1599" w:type="dxa"/>
            <w:vMerge/>
            <w:tcBorders>
              <w:top w:val="nil"/>
              <w:bottom w:val="single" w:sz="8" w:space="0" w:color="152935"/>
            </w:tcBorders>
          </w:tcPr>
          <w:p w14:paraId="3BA4076E" w14:textId="77777777" w:rsidR="008451DC" w:rsidRPr="000210ED" w:rsidRDefault="008451DC" w:rsidP="0092153F">
            <w:pPr>
              <w:rPr>
                <w:szCs w:val="24"/>
              </w:rPr>
            </w:pPr>
          </w:p>
        </w:tc>
        <w:tc>
          <w:tcPr>
            <w:tcW w:w="1134" w:type="dxa"/>
            <w:vMerge/>
            <w:tcBorders>
              <w:top w:val="nil"/>
              <w:bottom w:val="single" w:sz="8" w:space="0" w:color="152935"/>
            </w:tcBorders>
          </w:tcPr>
          <w:p w14:paraId="1EBDD08B" w14:textId="77777777" w:rsidR="008451DC" w:rsidRPr="000210ED" w:rsidRDefault="008451DC" w:rsidP="0092153F">
            <w:pPr>
              <w:rPr>
                <w:szCs w:val="24"/>
              </w:rPr>
            </w:pPr>
          </w:p>
        </w:tc>
        <w:tc>
          <w:tcPr>
            <w:tcW w:w="1134" w:type="dxa"/>
            <w:vMerge/>
            <w:tcBorders>
              <w:top w:val="nil"/>
              <w:bottom w:val="single" w:sz="8" w:space="0" w:color="152935"/>
              <w:right w:val="nil"/>
            </w:tcBorders>
          </w:tcPr>
          <w:p w14:paraId="72F62635" w14:textId="77777777" w:rsidR="008451DC" w:rsidRPr="000210ED" w:rsidRDefault="008451DC" w:rsidP="0092153F">
            <w:pPr>
              <w:rPr>
                <w:szCs w:val="24"/>
              </w:rPr>
            </w:pPr>
          </w:p>
        </w:tc>
      </w:tr>
      <w:tr w:rsidR="008451DC" w:rsidRPr="000210ED" w14:paraId="7F18A395" w14:textId="77777777" w:rsidTr="00C50168">
        <w:trPr>
          <w:trHeight w:val="394"/>
        </w:trPr>
        <w:tc>
          <w:tcPr>
            <w:tcW w:w="853" w:type="dxa"/>
            <w:tcBorders>
              <w:top w:val="single" w:sz="8" w:space="0" w:color="152935"/>
              <w:left w:val="nil"/>
              <w:bottom w:val="nil"/>
              <w:right w:val="nil"/>
            </w:tcBorders>
            <w:shd w:val="clear" w:color="auto" w:fill="DFDFDF"/>
          </w:tcPr>
          <w:p w14:paraId="60C9CB9A" w14:textId="77777777" w:rsidR="008451DC" w:rsidRPr="000210ED" w:rsidRDefault="008451DC" w:rsidP="0092153F">
            <w:pPr>
              <w:pStyle w:val="TableParagraph"/>
              <w:ind w:left="60"/>
              <w:rPr>
                <w:rFonts w:ascii="Times New Roman" w:hAnsi="Times New Roman" w:cs="Times New Roman"/>
                <w:sz w:val="24"/>
                <w:szCs w:val="24"/>
              </w:rPr>
            </w:pPr>
            <w:r w:rsidRPr="000210ED">
              <w:rPr>
                <w:rFonts w:ascii="Times New Roman" w:hAnsi="Times New Roman" w:cs="Times New Roman"/>
                <w:color w:val="25495F"/>
                <w:w w:val="99"/>
                <w:sz w:val="24"/>
                <w:szCs w:val="24"/>
                <w:lang w:val="en"/>
              </w:rPr>
              <w:t>1</w:t>
            </w:r>
          </w:p>
        </w:tc>
        <w:tc>
          <w:tcPr>
            <w:tcW w:w="1370" w:type="dxa"/>
            <w:tcBorders>
              <w:top w:val="single" w:sz="8" w:space="0" w:color="152935"/>
              <w:left w:val="nil"/>
              <w:bottom w:val="nil"/>
              <w:right w:val="nil"/>
            </w:tcBorders>
            <w:shd w:val="clear" w:color="auto" w:fill="DFDFDF"/>
          </w:tcPr>
          <w:p w14:paraId="3894C1FD" w14:textId="77777777" w:rsidR="008451DC" w:rsidRPr="000210ED" w:rsidRDefault="008451DC" w:rsidP="0092153F">
            <w:pPr>
              <w:pStyle w:val="TableParagraph"/>
              <w:ind w:left="59"/>
              <w:rPr>
                <w:rFonts w:ascii="Times New Roman" w:hAnsi="Times New Roman" w:cs="Times New Roman"/>
                <w:sz w:val="24"/>
                <w:szCs w:val="24"/>
              </w:rPr>
            </w:pPr>
            <w:r w:rsidRPr="000210ED">
              <w:rPr>
                <w:rFonts w:ascii="Times New Roman" w:hAnsi="Times New Roman" w:cs="Times New Roman"/>
                <w:color w:val="25495F"/>
                <w:sz w:val="24"/>
                <w:szCs w:val="24"/>
                <w:lang w:val="en"/>
              </w:rPr>
              <w:t>(Constant)</w:t>
            </w:r>
          </w:p>
        </w:tc>
        <w:tc>
          <w:tcPr>
            <w:tcW w:w="1710" w:type="dxa"/>
            <w:tcBorders>
              <w:top w:val="single" w:sz="8" w:space="0" w:color="152935"/>
              <w:left w:val="nil"/>
              <w:bottom w:val="nil"/>
            </w:tcBorders>
          </w:tcPr>
          <w:p w14:paraId="3DE2E818" w14:textId="77777777" w:rsidR="008451DC" w:rsidRPr="000210ED" w:rsidRDefault="008451DC" w:rsidP="0092153F">
            <w:pPr>
              <w:pStyle w:val="TableParagraph"/>
              <w:ind w:right="57"/>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190177412237.</w:t>
            </w:r>
          </w:p>
        </w:tc>
        <w:tc>
          <w:tcPr>
            <w:tcW w:w="1712" w:type="dxa"/>
            <w:tcBorders>
              <w:top w:val="single" w:sz="8" w:space="0" w:color="152935"/>
              <w:bottom w:val="nil"/>
            </w:tcBorders>
          </w:tcPr>
          <w:p w14:paraId="44EEAABF" w14:textId="77777777" w:rsidR="008451DC" w:rsidRPr="000210ED" w:rsidRDefault="008451DC" w:rsidP="0092153F">
            <w:pPr>
              <w:pStyle w:val="TableParagraph"/>
              <w:ind w:right="56"/>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25226051320.2</w:t>
            </w:r>
          </w:p>
        </w:tc>
        <w:tc>
          <w:tcPr>
            <w:tcW w:w="1599" w:type="dxa"/>
            <w:vMerge w:val="restart"/>
            <w:tcBorders>
              <w:top w:val="single" w:sz="8" w:space="0" w:color="152935"/>
              <w:bottom w:val="single" w:sz="8" w:space="0" w:color="ADADAD"/>
            </w:tcBorders>
          </w:tcPr>
          <w:p w14:paraId="13194CE9" w14:textId="77777777" w:rsidR="008451DC" w:rsidRPr="000210ED" w:rsidRDefault="008451DC" w:rsidP="0092153F">
            <w:pPr>
              <w:pStyle w:val="TableParagraph"/>
              <w:spacing w:before="0"/>
              <w:rPr>
                <w:rFonts w:ascii="Times New Roman" w:hAnsi="Times New Roman" w:cs="Times New Roman"/>
                <w:sz w:val="24"/>
                <w:szCs w:val="24"/>
              </w:rPr>
            </w:pPr>
          </w:p>
        </w:tc>
        <w:tc>
          <w:tcPr>
            <w:tcW w:w="1134" w:type="dxa"/>
            <w:tcBorders>
              <w:top w:val="single" w:sz="8" w:space="0" w:color="152935"/>
              <w:bottom w:val="nil"/>
            </w:tcBorders>
          </w:tcPr>
          <w:p w14:paraId="4CA85339" w14:textId="77777777" w:rsidR="008451DC" w:rsidRPr="000210ED" w:rsidRDefault="008451DC" w:rsidP="0092153F">
            <w:pPr>
              <w:pStyle w:val="TableParagraph"/>
              <w:ind w:right="55"/>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7.539</w:t>
            </w:r>
          </w:p>
        </w:tc>
        <w:tc>
          <w:tcPr>
            <w:tcW w:w="1134" w:type="dxa"/>
            <w:tcBorders>
              <w:top w:val="single" w:sz="8" w:space="0" w:color="152935"/>
              <w:bottom w:val="nil"/>
              <w:right w:val="nil"/>
            </w:tcBorders>
          </w:tcPr>
          <w:p w14:paraId="708D7D9B" w14:textId="77777777" w:rsidR="008451DC" w:rsidRPr="000210ED" w:rsidRDefault="008451DC" w:rsidP="0092153F">
            <w:pPr>
              <w:pStyle w:val="TableParagraph"/>
              <w:ind w:right="55"/>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.000</w:t>
            </w:r>
          </w:p>
        </w:tc>
      </w:tr>
      <w:tr w:rsidR="008451DC" w:rsidRPr="000210ED" w14:paraId="3E7BAB27" w14:textId="77777777" w:rsidTr="00C50168">
        <w:trPr>
          <w:trHeight w:val="268"/>
        </w:trPr>
        <w:tc>
          <w:tcPr>
            <w:tcW w:w="853" w:type="dxa"/>
            <w:tcBorders>
              <w:top w:val="nil"/>
              <w:left w:val="nil"/>
              <w:bottom w:val="nil"/>
              <w:right w:val="nil"/>
            </w:tcBorders>
            <w:shd w:val="clear" w:color="auto" w:fill="DFDFDF"/>
          </w:tcPr>
          <w:p w14:paraId="6F488A21" w14:textId="77777777" w:rsidR="008451DC" w:rsidRPr="000210ED" w:rsidRDefault="008451DC" w:rsidP="0092153F">
            <w:pPr>
              <w:pStyle w:val="TableParagraph"/>
              <w:spacing w:before="0"/>
              <w:rPr>
                <w:rFonts w:ascii="Times New Roman" w:hAnsi="Times New Roman" w:cs="Times New Roman"/>
                <w:sz w:val="24"/>
                <w:szCs w:val="24"/>
              </w:rPr>
            </w:pPr>
          </w:p>
        </w:tc>
        <w:tc>
          <w:tcPr>
            <w:tcW w:w="1370" w:type="dxa"/>
            <w:tcBorders>
              <w:top w:val="nil"/>
              <w:left w:val="nil"/>
              <w:bottom w:val="single" w:sz="8" w:space="0" w:color="ADADAD"/>
              <w:right w:val="nil"/>
            </w:tcBorders>
            <w:shd w:val="clear" w:color="auto" w:fill="DFDFDF"/>
          </w:tcPr>
          <w:p w14:paraId="4CE80FB2" w14:textId="77777777" w:rsidR="008451DC" w:rsidRPr="000210ED" w:rsidRDefault="008451DC" w:rsidP="0092153F">
            <w:pPr>
              <w:pStyle w:val="TableParagraph"/>
              <w:spacing w:before="0"/>
              <w:rPr>
                <w:rFonts w:ascii="Times New Roman" w:hAnsi="Times New Roman" w:cs="Times New Roman"/>
                <w:sz w:val="24"/>
                <w:szCs w:val="24"/>
              </w:rPr>
            </w:pPr>
          </w:p>
        </w:tc>
        <w:tc>
          <w:tcPr>
            <w:tcW w:w="1710" w:type="dxa"/>
            <w:tcBorders>
              <w:top w:val="nil"/>
              <w:left w:val="nil"/>
              <w:bottom w:val="single" w:sz="8" w:space="0" w:color="ADADAD"/>
            </w:tcBorders>
          </w:tcPr>
          <w:p w14:paraId="7DAEF54E" w14:textId="77777777" w:rsidR="008451DC" w:rsidRPr="000210ED" w:rsidRDefault="008451DC" w:rsidP="0092153F">
            <w:pPr>
              <w:pStyle w:val="TableParagraph"/>
              <w:spacing w:before="44"/>
              <w:ind w:right="54"/>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305</w:t>
            </w:r>
          </w:p>
        </w:tc>
        <w:tc>
          <w:tcPr>
            <w:tcW w:w="1712" w:type="dxa"/>
            <w:tcBorders>
              <w:top w:val="nil"/>
              <w:bottom w:val="single" w:sz="8" w:space="0" w:color="ADADAD"/>
            </w:tcBorders>
          </w:tcPr>
          <w:p w14:paraId="3C05A2C7" w14:textId="77777777" w:rsidR="008451DC" w:rsidRPr="000210ED" w:rsidRDefault="008451DC" w:rsidP="0092153F">
            <w:pPr>
              <w:pStyle w:val="TableParagraph"/>
              <w:spacing w:before="44"/>
              <w:ind w:right="54"/>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23</w:t>
            </w:r>
          </w:p>
        </w:tc>
        <w:tc>
          <w:tcPr>
            <w:tcW w:w="1599" w:type="dxa"/>
            <w:vMerge/>
            <w:tcBorders>
              <w:top w:val="nil"/>
              <w:bottom w:val="single" w:sz="8" w:space="0" w:color="ADADAD"/>
            </w:tcBorders>
          </w:tcPr>
          <w:p w14:paraId="3F42866F" w14:textId="77777777" w:rsidR="008451DC" w:rsidRPr="000210ED" w:rsidRDefault="008451DC" w:rsidP="0092153F">
            <w:pPr>
              <w:rPr>
                <w:szCs w:val="24"/>
              </w:rPr>
            </w:pPr>
          </w:p>
        </w:tc>
        <w:tc>
          <w:tcPr>
            <w:tcW w:w="1134" w:type="dxa"/>
            <w:tcBorders>
              <w:top w:val="nil"/>
              <w:bottom w:val="single" w:sz="8" w:space="0" w:color="ADADAD"/>
            </w:tcBorders>
          </w:tcPr>
          <w:p w14:paraId="762C1781" w14:textId="77777777" w:rsidR="008451DC" w:rsidRPr="000210ED" w:rsidRDefault="008451DC" w:rsidP="0092153F">
            <w:pPr>
              <w:pStyle w:val="TableParagraph"/>
              <w:spacing w:before="0"/>
              <w:rPr>
                <w:rFonts w:ascii="Times New Roman" w:hAnsi="Times New Roman" w:cs="Times New Roman"/>
                <w:sz w:val="24"/>
                <w:szCs w:val="24"/>
              </w:rPr>
            </w:pPr>
          </w:p>
        </w:tc>
        <w:tc>
          <w:tcPr>
            <w:tcW w:w="1134" w:type="dxa"/>
            <w:tcBorders>
              <w:top w:val="nil"/>
              <w:bottom w:val="single" w:sz="8" w:space="0" w:color="ADADAD"/>
              <w:right w:val="nil"/>
            </w:tcBorders>
          </w:tcPr>
          <w:p w14:paraId="148E9F23" w14:textId="77777777" w:rsidR="008451DC" w:rsidRPr="000210ED" w:rsidRDefault="008451DC" w:rsidP="0092153F">
            <w:pPr>
              <w:pStyle w:val="TableParagraph"/>
              <w:spacing w:before="0"/>
              <w:rPr>
                <w:rFonts w:ascii="Times New Roman" w:hAnsi="Times New Roman" w:cs="Times New Roman"/>
                <w:sz w:val="24"/>
                <w:szCs w:val="24"/>
              </w:rPr>
            </w:pPr>
          </w:p>
        </w:tc>
      </w:tr>
      <w:tr w:rsidR="008451DC" w:rsidRPr="000210ED" w14:paraId="4721C755" w14:textId="77777777" w:rsidTr="00C50168">
        <w:trPr>
          <w:trHeight w:val="342"/>
        </w:trPr>
        <w:tc>
          <w:tcPr>
            <w:tcW w:w="853" w:type="dxa"/>
            <w:tcBorders>
              <w:top w:val="nil"/>
              <w:left w:val="nil"/>
              <w:bottom w:val="single" w:sz="8" w:space="0" w:color="152935"/>
              <w:right w:val="nil"/>
            </w:tcBorders>
            <w:shd w:val="clear" w:color="auto" w:fill="DFDFDF"/>
          </w:tcPr>
          <w:p w14:paraId="2961BBCE" w14:textId="77777777" w:rsidR="008451DC" w:rsidRPr="000210ED" w:rsidRDefault="008451DC" w:rsidP="0092153F">
            <w:pPr>
              <w:pStyle w:val="TableParagraph"/>
              <w:spacing w:before="0"/>
              <w:rPr>
                <w:rFonts w:ascii="Times New Roman" w:hAnsi="Times New Roman" w:cs="Times New Roman"/>
                <w:sz w:val="24"/>
                <w:szCs w:val="24"/>
              </w:rPr>
            </w:pPr>
          </w:p>
        </w:tc>
        <w:tc>
          <w:tcPr>
            <w:tcW w:w="1370" w:type="dxa"/>
            <w:tcBorders>
              <w:top w:val="single" w:sz="8" w:space="0" w:color="ADADAD"/>
              <w:left w:val="nil"/>
              <w:bottom w:val="single" w:sz="8" w:space="0" w:color="152935"/>
              <w:right w:val="nil"/>
            </w:tcBorders>
            <w:shd w:val="clear" w:color="auto" w:fill="DFDFDF"/>
          </w:tcPr>
          <w:p w14:paraId="256E9000" w14:textId="041BA359" w:rsidR="008451DC" w:rsidRPr="000210ED" w:rsidRDefault="00940F3E" w:rsidP="00940F3E">
            <w:pPr>
              <w:pStyle w:val="TableParagraph"/>
              <w:rPr>
                <w:rFonts w:ascii="Times New Roman" w:hAnsi="Times New Roman" w:cs="Times New Roman"/>
                <w:sz w:val="24"/>
                <w:szCs w:val="24"/>
              </w:rPr>
            </w:pPr>
            <w:r>
              <w:rPr>
                <w:rFonts w:ascii="Times New Roman" w:hAnsi="Times New Roman" w:cs="Times New Roman"/>
                <w:color w:val="25495F"/>
                <w:sz w:val="24"/>
                <w:szCs w:val="24"/>
                <w:lang w:val="en"/>
              </w:rPr>
              <w:t>Local revenue</w:t>
            </w:r>
          </w:p>
        </w:tc>
        <w:tc>
          <w:tcPr>
            <w:tcW w:w="1710" w:type="dxa"/>
            <w:tcBorders>
              <w:top w:val="single" w:sz="8" w:space="0" w:color="ADADAD"/>
              <w:left w:val="nil"/>
              <w:bottom w:val="single" w:sz="8" w:space="0" w:color="152935"/>
            </w:tcBorders>
          </w:tcPr>
          <w:p w14:paraId="1D971264" w14:textId="77777777" w:rsidR="008451DC" w:rsidRPr="000210ED" w:rsidRDefault="008451DC" w:rsidP="0092153F">
            <w:pPr>
              <w:pStyle w:val="TableParagraph"/>
              <w:ind w:right="55"/>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.315</w:t>
            </w:r>
          </w:p>
        </w:tc>
        <w:tc>
          <w:tcPr>
            <w:tcW w:w="1712" w:type="dxa"/>
            <w:tcBorders>
              <w:top w:val="single" w:sz="8" w:space="0" w:color="ADADAD"/>
              <w:bottom w:val="single" w:sz="8" w:space="0" w:color="152935"/>
            </w:tcBorders>
          </w:tcPr>
          <w:p w14:paraId="47A93742" w14:textId="77777777" w:rsidR="008451DC" w:rsidRPr="000210ED" w:rsidRDefault="008451DC" w:rsidP="0092153F">
            <w:pPr>
              <w:pStyle w:val="TableParagraph"/>
              <w:ind w:right="55"/>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.050</w:t>
            </w:r>
          </w:p>
        </w:tc>
        <w:tc>
          <w:tcPr>
            <w:tcW w:w="1599" w:type="dxa"/>
            <w:tcBorders>
              <w:top w:val="single" w:sz="8" w:space="0" w:color="ADADAD"/>
              <w:bottom w:val="single" w:sz="8" w:space="0" w:color="152935"/>
            </w:tcBorders>
          </w:tcPr>
          <w:p w14:paraId="41B9A9E8" w14:textId="77777777" w:rsidR="008451DC" w:rsidRPr="000210ED" w:rsidRDefault="008451DC" w:rsidP="0092153F">
            <w:pPr>
              <w:pStyle w:val="TableParagraph"/>
              <w:ind w:right="55"/>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.608</w:t>
            </w:r>
          </w:p>
        </w:tc>
        <w:tc>
          <w:tcPr>
            <w:tcW w:w="1134" w:type="dxa"/>
            <w:tcBorders>
              <w:top w:val="single" w:sz="8" w:space="0" w:color="ADADAD"/>
              <w:bottom w:val="single" w:sz="8" w:space="0" w:color="152935"/>
            </w:tcBorders>
          </w:tcPr>
          <w:p w14:paraId="0AB7F556" w14:textId="77777777" w:rsidR="008451DC" w:rsidRPr="000210ED" w:rsidRDefault="008451DC" w:rsidP="0092153F">
            <w:pPr>
              <w:pStyle w:val="TableParagraph"/>
              <w:ind w:right="55"/>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6.316</w:t>
            </w:r>
          </w:p>
        </w:tc>
        <w:tc>
          <w:tcPr>
            <w:tcW w:w="1134" w:type="dxa"/>
            <w:tcBorders>
              <w:top w:val="single" w:sz="8" w:space="0" w:color="ADADAD"/>
              <w:bottom w:val="single" w:sz="8" w:space="0" w:color="152935"/>
              <w:right w:val="nil"/>
            </w:tcBorders>
          </w:tcPr>
          <w:p w14:paraId="4E4BA5BB" w14:textId="77777777" w:rsidR="008451DC" w:rsidRPr="000210ED" w:rsidRDefault="008451DC" w:rsidP="0092153F">
            <w:pPr>
              <w:pStyle w:val="TableParagraph"/>
              <w:ind w:right="55"/>
              <w:jc w:val="right"/>
              <w:rPr>
                <w:rFonts w:ascii="Times New Roman" w:hAnsi="Times New Roman" w:cs="Times New Roman"/>
                <w:sz w:val="24"/>
                <w:szCs w:val="24"/>
              </w:rPr>
            </w:pPr>
            <w:r w:rsidRPr="000210ED">
              <w:rPr>
                <w:rFonts w:ascii="Times New Roman" w:hAnsi="Times New Roman" w:cs="Times New Roman"/>
                <w:color w:val="000104"/>
                <w:sz w:val="24"/>
                <w:szCs w:val="24"/>
                <w:lang w:val="en"/>
              </w:rPr>
              <w:t>.000</w:t>
            </w:r>
          </w:p>
        </w:tc>
      </w:tr>
    </w:tbl>
    <w:p w14:paraId="2B616412" w14:textId="77777777" w:rsidR="00950197" w:rsidRPr="0092153F" w:rsidRDefault="00950197" w:rsidP="0092153F">
      <w:pPr>
        <w:pStyle w:val="BodyText"/>
        <w:spacing w:before="111"/>
        <w:ind w:left="180"/>
        <w:rPr>
          <w:szCs w:val="24"/>
        </w:rPr>
      </w:pPr>
      <w:r w:rsidRPr="0092153F">
        <w:rPr>
          <w:color w:val="000104"/>
          <w:szCs w:val="24"/>
          <w:lang w:val="en"/>
        </w:rPr>
        <w:t>a. Dependent Variable: Capital Expenditure</w:t>
      </w:r>
    </w:p>
    <w:p w14:paraId="6FF17C3B" w14:textId="77777777" w:rsidR="008451DC" w:rsidRPr="0092153F" w:rsidRDefault="008451DC" w:rsidP="0092153F">
      <w:pPr>
        <w:jc w:val="both"/>
        <w:rPr>
          <w:szCs w:val="24"/>
          <w:lang w:val="en-ID"/>
        </w:rPr>
      </w:pPr>
    </w:p>
    <w:p w14:paraId="7FD9F0D4" w14:textId="5BD89FA8" w:rsidR="0011472C" w:rsidRDefault="0047647C" w:rsidP="0092153F">
      <w:pPr>
        <w:jc w:val="both"/>
        <w:rPr>
          <w:szCs w:val="24"/>
          <w:lang w:val="en-ID"/>
        </w:rPr>
      </w:pPr>
      <w:r w:rsidRPr="0092153F">
        <w:rPr>
          <w:szCs w:val="24"/>
          <w:lang w:val="en"/>
        </w:rPr>
        <w:tab/>
        <w:t>The Capital Expenditure Coefficient shows a figure of 0.315. The sig value is 0.000 and the calculated t value is 6.316 &gt; t table is 1,996. The interpretation is that if the Regional Original Revenue budget increases by 1 rupiah, then Capital Expenditure will increase by 0.315 rupiah.</w:t>
      </w:r>
    </w:p>
    <w:p w14:paraId="7296A6E0" w14:textId="188CD0F8" w:rsidR="00950197" w:rsidRPr="0092153F" w:rsidRDefault="00950197" w:rsidP="0092153F">
      <w:pPr>
        <w:jc w:val="both"/>
        <w:rPr>
          <w:szCs w:val="24"/>
          <w:lang w:val="en-ID"/>
        </w:rPr>
      </w:pPr>
    </w:p>
    <w:p w14:paraId="6D397BA7" w14:textId="32A79A82" w:rsidR="00950197" w:rsidRPr="0092153F" w:rsidRDefault="00940F3E" w:rsidP="0092153F">
      <w:pPr>
        <w:pStyle w:val="ListParagraph"/>
        <w:numPr>
          <w:ilvl w:val="0"/>
          <w:numId w:val="17"/>
        </w:numPr>
        <w:jc w:val="both"/>
        <w:rPr>
          <w:szCs w:val="24"/>
          <w:lang w:val="en-ID"/>
        </w:rPr>
      </w:pPr>
      <w:r>
        <w:rPr>
          <w:szCs w:val="24"/>
          <w:lang w:val="en"/>
        </w:rPr>
        <w:t>Local Revenue effect</w:t>
      </w:r>
      <w:r w:rsidR="00950197" w:rsidRPr="0092153F">
        <w:rPr>
          <w:szCs w:val="24"/>
          <w:lang w:val="en"/>
        </w:rPr>
        <w:t xml:space="preserve"> On Infrastructure Financing</w:t>
      </w:r>
    </w:p>
    <w:p w14:paraId="7D7B4DA4" w14:textId="27CC3821" w:rsidR="00C50168" w:rsidRDefault="00C50168" w:rsidP="0092153F">
      <w:pPr>
        <w:pStyle w:val="BodyText"/>
        <w:spacing w:before="111"/>
        <w:ind w:left="180"/>
        <w:rPr>
          <w:color w:val="000104"/>
          <w:szCs w:val="24"/>
          <w:lang w:val="en"/>
        </w:rPr>
      </w:pPr>
      <w:r w:rsidRPr="00C50168">
        <w:rPr>
          <w:noProof/>
        </w:rPr>
        <w:drawing>
          <wp:inline distT="0" distB="0" distL="0" distR="0" wp14:anchorId="705884E2" wp14:editId="0C72B667">
            <wp:extent cx="573405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4050" cy="2057400"/>
                    </a:xfrm>
                    <a:prstGeom prst="rect">
                      <a:avLst/>
                    </a:prstGeom>
                    <a:noFill/>
                    <a:ln>
                      <a:noFill/>
                    </a:ln>
                  </pic:spPr>
                </pic:pic>
              </a:graphicData>
            </a:graphic>
          </wp:inline>
        </w:drawing>
      </w:r>
    </w:p>
    <w:p w14:paraId="65A47326" w14:textId="31E6C75F" w:rsidR="00950197" w:rsidRPr="0092153F" w:rsidRDefault="00950197" w:rsidP="0092153F">
      <w:pPr>
        <w:pStyle w:val="BodyText"/>
        <w:spacing w:before="111"/>
        <w:ind w:left="180"/>
        <w:rPr>
          <w:szCs w:val="24"/>
        </w:rPr>
      </w:pPr>
      <w:r w:rsidRPr="0092153F">
        <w:rPr>
          <w:color w:val="000104"/>
          <w:szCs w:val="24"/>
          <w:lang w:val="en"/>
        </w:rPr>
        <w:t>a. Dependent Variable: Infrastructure Financing</w:t>
      </w:r>
    </w:p>
    <w:p w14:paraId="35FF3050" w14:textId="3AC25053" w:rsidR="00950197" w:rsidRPr="0092153F" w:rsidRDefault="00C95929" w:rsidP="0092153F">
      <w:pPr>
        <w:jc w:val="both"/>
        <w:rPr>
          <w:szCs w:val="24"/>
          <w:lang w:val="en-ID"/>
        </w:rPr>
      </w:pPr>
      <w:r w:rsidRPr="0092153F">
        <w:rPr>
          <w:szCs w:val="24"/>
          <w:lang w:val="en"/>
        </w:rPr>
        <w:t>The Infrastructure Financing Coefficient shows a figure of 0.068. The sig value is 0.044 and the t value is 2,056 &gt; t table is 1,996 The in</w:t>
      </w:r>
      <w:r w:rsidR="00940F3E">
        <w:rPr>
          <w:szCs w:val="24"/>
          <w:lang w:val="en"/>
        </w:rPr>
        <w:t xml:space="preserve">terpretation is that if the Local Revenue </w:t>
      </w:r>
      <w:r w:rsidRPr="0092153F">
        <w:rPr>
          <w:szCs w:val="24"/>
          <w:lang w:val="en"/>
        </w:rPr>
        <w:t xml:space="preserve">budget increases by 1 rupiah, then Infrastructure financing will increase by 0.068. </w:t>
      </w:r>
    </w:p>
    <w:p w14:paraId="0CBE1081" w14:textId="2071C5D4" w:rsidR="00A22877" w:rsidRDefault="00A22877" w:rsidP="0092153F">
      <w:pPr>
        <w:jc w:val="both"/>
        <w:rPr>
          <w:szCs w:val="24"/>
          <w:lang w:val="en-ID"/>
        </w:rPr>
      </w:pPr>
    </w:p>
    <w:p w14:paraId="47BF08AB" w14:textId="06BC59DF" w:rsidR="00E712CA" w:rsidRDefault="00E712CA" w:rsidP="0092153F">
      <w:pPr>
        <w:jc w:val="both"/>
        <w:rPr>
          <w:szCs w:val="24"/>
          <w:lang w:val="en-ID"/>
        </w:rPr>
      </w:pPr>
    </w:p>
    <w:p w14:paraId="02D07A03" w14:textId="12E568D5" w:rsidR="00E712CA" w:rsidRDefault="00E712CA" w:rsidP="0092153F">
      <w:pPr>
        <w:jc w:val="both"/>
        <w:rPr>
          <w:szCs w:val="24"/>
          <w:lang w:val="en-ID"/>
        </w:rPr>
      </w:pPr>
    </w:p>
    <w:p w14:paraId="05F37F83" w14:textId="696F7DAF" w:rsidR="00E712CA" w:rsidRDefault="00E712CA" w:rsidP="0092153F">
      <w:pPr>
        <w:jc w:val="both"/>
        <w:rPr>
          <w:szCs w:val="24"/>
          <w:lang w:val="en-ID"/>
        </w:rPr>
      </w:pPr>
    </w:p>
    <w:p w14:paraId="75358C25" w14:textId="224E6506" w:rsidR="00E712CA" w:rsidRDefault="00E712CA" w:rsidP="0092153F">
      <w:pPr>
        <w:jc w:val="both"/>
        <w:rPr>
          <w:szCs w:val="24"/>
          <w:lang w:val="en-ID"/>
        </w:rPr>
      </w:pPr>
    </w:p>
    <w:p w14:paraId="34865B24" w14:textId="21634441" w:rsidR="00E712CA" w:rsidRDefault="00E712CA" w:rsidP="0092153F">
      <w:pPr>
        <w:jc w:val="both"/>
        <w:rPr>
          <w:szCs w:val="24"/>
          <w:lang w:val="en-ID"/>
        </w:rPr>
      </w:pPr>
    </w:p>
    <w:p w14:paraId="783E32B9" w14:textId="77777777" w:rsidR="00E712CA" w:rsidRPr="0092153F" w:rsidRDefault="00E712CA" w:rsidP="0092153F">
      <w:pPr>
        <w:jc w:val="both"/>
        <w:rPr>
          <w:szCs w:val="24"/>
          <w:lang w:val="en-ID"/>
        </w:rPr>
      </w:pPr>
    </w:p>
    <w:p w14:paraId="7751C077" w14:textId="77777777" w:rsidR="00950197" w:rsidRPr="0092153F" w:rsidRDefault="00950197" w:rsidP="0092153F">
      <w:pPr>
        <w:jc w:val="both"/>
        <w:rPr>
          <w:szCs w:val="24"/>
          <w:lang w:val="en-ID"/>
        </w:rPr>
      </w:pPr>
    </w:p>
    <w:p w14:paraId="36C6CAD3" w14:textId="0B6A176A" w:rsidR="00950197" w:rsidRPr="0092153F" w:rsidRDefault="00940F3E" w:rsidP="0092153F">
      <w:pPr>
        <w:pStyle w:val="ListParagraph"/>
        <w:numPr>
          <w:ilvl w:val="0"/>
          <w:numId w:val="17"/>
        </w:numPr>
        <w:jc w:val="both"/>
        <w:rPr>
          <w:szCs w:val="24"/>
          <w:lang w:val="en-ID"/>
        </w:rPr>
      </w:pPr>
      <w:r>
        <w:rPr>
          <w:szCs w:val="24"/>
          <w:lang w:val="en"/>
        </w:rPr>
        <w:lastRenderedPageBreak/>
        <w:t xml:space="preserve">Local Revenue effect </w:t>
      </w:r>
      <w:r w:rsidR="00950197" w:rsidRPr="0092153F">
        <w:rPr>
          <w:szCs w:val="24"/>
          <w:lang w:val="en"/>
        </w:rPr>
        <w:t xml:space="preserve"> On Accountability Performance</w:t>
      </w:r>
      <w:r>
        <w:rPr>
          <w:szCs w:val="24"/>
          <w:lang w:val="en"/>
        </w:rPr>
        <w:t xml:space="preserve"> System</w:t>
      </w:r>
    </w:p>
    <w:p w14:paraId="1BD61190" w14:textId="7E17D2DF" w:rsidR="00950197" w:rsidRPr="0092153F" w:rsidRDefault="00C50168" w:rsidP="0092153F">
      <w:pPr>
        <w:jc w:val="both"/>
        <w:rPr>
          <w:szCs w:val="24"/>
          <w:lang w:val="en-ID"/>
        </w:rPr>
      </w:pPr>
      <w:r w:rsidRPr="00C50168">
        <w:rPr>
          <w:noProof/>
        </w:rPr>
        <w:drawing>
          <wp:inline distT="0" distB="0" distL="0" distR="0" wp14:anchorId="2FEDB30A" wp14:editId="70BF832A">
            <wp:extent cx="5734050" cy="1666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4050" cy="1666875"/>
                    </a:xfrm>
                    <a:prstGeom prst="rect">
                      <a:avLst/>
                    </a:prstGeom>
                    <a:noFill/>
                    <a:ln>
                      <a:noFill/>
                    </a:ln>
                  </pic:spPr>
                </pic:pic>
              </a:graphicData>
            </a:graphic>
          </wp:inline>
        </w:drawing>
      </w:r>
    </w:p>
    <w:p w14:paraId="3BC8F243" w14:textId="77777777" w:rsidR="00950197" w:rsidRPr="0092153F" w:rsidRDefault="00950197" w:rsidP="0092153F">
      <w:pPr>
        <w:pStyle w:val="BodyText"/>
        <w:spacing w:before="110"/>
        <w:ind w:left="180"/>
        <w:rPr>
          <w:szCs w:val="24"/>
        </w:rPr>
      </w:pPr>
      <w:r w:rsidRPr="0092153F">
        <w:rPr>
          <w:color w:val="000104"/>
          <w:szCs w:val="24"/>
          <w:lang w:val="en"/>
        </w:rPr>
        <w:t>a. Dependent Variables: Accountability Performance</w:t>
      </w:r>
    </w:p>
    <w:p w14:paraId="7DD975B5" w14:textId="300A13CF" w:rsidR="007175C5" w:rsidRDefault="00C95929" w:rsidP="0092153F">
      <w:pPr>
        <w:jc w:val="both"/>
        <w:rPr>
          <w:szCs w:val="24"/>
          <w:lang w:val="en-ID"/>
        </w:rPr>
      </w:pPr>
      <w:r w:rsidRPr="0092153F">
        <w:rPr>
          <w:szCs w:val="24"/>
          <w:lang w:val="en"/>
        </w:rPr>
        <w:t>The Coefficient of Accountability Performance</w:t>
      </w:r>
      <w:r w:rsidR="00940F3E">
        <w:rPr>
          <w:szCs w:val="24"/>
          <w:lang w:val="en"/>
        </w:rPr>
        <w:t xml:space="preserve"> System</w:t>
      </w:r>
      <w:r w:rsidRPr="0092153F">
        <w:rPr>
          <w:szCs w:val="24"/>
          <w:lang w:val="en"/>
        </w:rPr>
        <w:t xml:space="preserve"> shows a figure of 2,679E-12. The sig value is 0.130 and the calculated t value is 1.531 &lt; t table is 1.996. The i</w:t>
      </w:r>
      <w:r w:rsidR="00940F3E">
        <w:rPr>
          <w:szCs w:val="24"/>
          <w:lang w:val="en"/>
        </w:rPr>
        <w:t>nterpretation is that if the Local Revenue</w:t>
      </w:r>
      <w:r w:rsidRPr="0092153F">
        <w:rPr>
          <w:szCs w:val="24"/>
          <w:lang w:val="en"/>
        </w:rPr>
        <w:t xml:space="preserve"> budget increases by 1 rupiah, then the Accountability Performance</w:t>
      </w:r>
      <w:r w:rsidR="00940F3E">
        <w:rPr>
          <w:szCs w:val="24"/>
          <w:lang w:val="en"/>
        </w:rPr>
        <w:t xml:space="preserve"> System</w:t>
      </w:r>
      <w:r w:rsidRPr="0092153F">
        <w:rPr>
          <w:szCs w:val="24"/>
          <w:lang w:val="en"/>
        </w:rPr>
        <w:t xml:space="preserve"> will decrease by 2,679E-12. </w:t>
      </w:r>
    </w:p>
    <w:p w14:paraId="6F173ACF" w14:textId="77777777" w:rsidR="000210ED" w:rsidRPr="0092153F" w:rsidRDefault="000210ED" w:rsidP="0092153F">
      <w:pPr>
        <w:jc w:val="both"/>
        <w:rPr>
          <w:szCs w:val="24"/>
          <w:lang w:val="en-ID"/>
        </w:rPr>
      </w:pPr>
    </w:p>
    <w:p w14:paraId="54479530" w14:textId="3007F6E0" w:rsidR="00950197" w:rsidRPr="0092153F" w:rsidRDefault="00940F3E" w:rsidP="0092153F">
      <w:pPr>
        <w:pStyle w:val="ListParagraph"/>
        <w:numPr>
          <w:ilvl w:val="0"/>
          <w:numId w:val="17"/>
        </w:numPr>
        <w:jc w:val="both"/>
        <w:rPr>
          <w:szCs w:val="24"/>
          <w:lang w:val="en-ID"/>
        </w:rPr>
      </w:pPr>
      <w:r>
        <w:rPr>
          <w:szCs w:val="24"/>
          <w:lang w:val="en"/>
        </w:rPr>
        <w:t>Local Revenue effect</w:t>
      </w:r>
      <w:r w:rsidR="00950197" w:rsidRPr="0092153F">
        <w:rPr>
          <w:szCs w:val="24"/>
          <w:lang w:val="en"/>
        </w:rPr>
        <w:t xml:space="preserve"> </w:t>
      </w:r>
      <w:r w:rsidR="000210ED">
        <w:rPr>
          <w:szCs w:val="24"/>
          <w:lang w:val="en"/>
        </w:rPr>
        <w:t xml:space="preserve">on </w:t>
      </w:r>
      <w:r>
        <w:rPr>
          <w:szCs w:val="24"/>
          <w:lang w:val="en"/>
        </w:rPr>
        <w:t>Budget Refocusing</w:t>
      </w:r>
    </w:p>
    <w:p w14:paraId="3C647902" w14:textId="6A6796D5" w:rsidR="00950197" w:rsidRPr="0092153F" w:rsidRDefault="00C50168" w:rsidP="0092153F">
      <w:pPr>
        <w:jc w:val="both"/>
        <w:rPr>
          <w:szCs w:val="24"/>
          <w:lang w:val="en-ID"/>
        </w:rPr>
      </w:pPr>
      <w:r w:rsidRPr="00C50168">
        <w:rPr>
          <w:noProof/>
        </w:rPr>
        <w:drawing>
          <wp:inline distT="0" distB="0" distL="0" distR="0" wp14:anchorId="7027CFF6" wp14:editId="75B98D1D">
            <wp:extent cx="5734050" cy="2057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4050" cy="2057400"/>
                    </a:xfrm>
                    <a:prstGeom prst="rect">
                      <a:avLst/>
                    </a:prstGeom>
                    <a:noFill/>
                    <a:ln>
                      <a:noFill/>
                    </a:ln>
                  </pic:spPr>
                </pic:pic>
              </a:graphicData>
            </a:graphic>
          </wp:inline>
        </w:drawing>
      </w:r>
    </w:p>
    <w:p w14:paraId="75DF8BF2" w14:textId="7EC1D9B5" w:rsidR="0047647C" w:rsidRPr="0092153F" w:rsidRDefault="00950197" w:rsidP="0092153F">
      <w:pPr>
        <w:pStyle w:val="BodyText"/>
        <w:spacing w:before="111"/>
        <w:ind w:left="180"/>
        <w:rPr>
          <w:szCs w:val="24"/>
        </w:rPr>
      </w:pPr>
      <w:r w:rsidRPr="0092153F">
        <w:rPr>
          <w:color w:val="000104"/>
          <w:szCs w:val="24"/>
          <w:lang w:val="en"/>
        </w:rPr>
        <w:t>a. Dep</w:t>
      </w:r>
      <w:r w:rsidR="00940F3E">
        <w:rPr>
          <w:color w:val="000104"/>
          <w:szCs w:val="24"/>
          <w:lang w:val="en"/>
        </w:rPr>
        <w:t>endent Variables: Budget Refocusing</w:t>
      </w:r>
    </w:p>
    <w:p w14:paraId="1C08AD8A" w14:textId="1E94F07D" w:rsidR="0047647C" w:rsidRPr="0092153F" w:rsidRDefault="0047647C" w:rsidP="0092153F">
      <w:pPr>
        <w:jc w:val="both"/>
        <w:rPr>
          <w:szCs w:val="24"/>
          <w:lang w:val="en-ID"/>
        </w:rPr>
      </w:pPr>
      <w:r w:rsidRPr="0092153F">
        <w:rPr>
          <w:szCs w:val="24"/>
          <w:lang w:val="en"/>
        </w:rPr>
        <w:tab/>
      </w:r>
      <w:r w:rsidR="00940F3E">
        <w:rPr>
          <w:szCs w:val="24"/>
          <w:lang w:val="en"/>
        </w:rPr>
        <w:t>The Coefficient of Budget Refocusing</w:t>
      </w:r>
      <w:r w:rsidRPr="0092153F">
        <w:rPr>
          <w:szCs w:val="24"/>
          <w:lang w:val="en"/>
        </w:rPr>
        <w:t xml:space="preserve"> shows a figure o</w:t>
      </w:r>
      <w:r w:rsidR="00940F3E">
        <w:rPr>
          <w:szCs w:val="24"/>
          <w:lang w:val="en"/>
        </w:rPr>
        <w:t xml:space="preserve">f 0.277. The sig value is 0.022 </w:t>
      </w:r>
      <w:r w:rsidRPr="0092153F">
        <w:rPr>
          <w:szCs w:val="24"/>
          <w:lang w:val="en"/>
        </w:rPr>
        <w:t>and the calculated t value is 2,349 &gt; t table is 1,996. The interpretation is that if PAD increase</w:t>
      </w:r>
      <w:r w:rsidR="00CD4D59">
        <w:rPr>
          <w:szCs w:val="24"/>
          <w:lang w:val="en"/>
        </w:rPr>
        <w:t>s by 1 rupiah, the Budget Refocusing</w:t>
      </w:r>
      <w:r w:rsidRPr="0092153F">
        <w:rPr>
          <w:szCs w:val="24"/>
          <w:lang w:val="en"/>
        </w:rPr>
        <w:t xml:space="preserve"> will increase by 0.277. </w:t>
      </w:r>
    </w:p>
    <w:p w14:paraId="007475AA" w14:textId="77777777" w:rsidR="009E0227" w:rsidRPr="0092153F" w:rsidRDefault="009E0227" w:rsidP="0092153F">
      <w:pPr>
        <w:jc w:val="both"/>
        <w:rPr>
          <w:szCs w:val="24"/>
          <w:lang w:val="en-ID"/>
        </w:rPr>
      </w:pPr>
    </w:p>
    <w:p w14:paraId="7B2F0611" w14:textId="052CDD7E" w:rsidR="003C6C45" w:rsidRDefault="003C6C45" w:rsidP="0092153F">
      <w:pPr>
        <w:jc w:val="both"/>
        <w:rPr>
          <w:rStyle w:val="tlid-translation"/>
          <w:szCs w:val="24"/>
        </w:rPr>
      </w:pPr>
    </w:p>
    <w:p w14:paraId="2539EF09" w14:textId="3A93F1F4" w:rsidR="00E712CA" w:rsidRDefault="00E712CA" w:rsidP="0092153F">
      <w:pPr>
        <w:jc w:val="both"/>
        <w:rPr>
          <w:rStyle w:val="tlid-translation"/>
          <w:szCs w:val="24"/>
        </w:rPr>
      </w:pPr>
    </w:p>
    <w:p w14:paraId="58B5F4A2" w14:textId="5776C045" w:rsidR="00E712CA" w:rsidRDefault="00E712CA" w:rsidP="0092153F">
      <w:pPr>
        <w:jc w:val="both"/>
        <w:rPr>
          <w:rStyle w:val="tlid-translation"/>
          <w:szCs w:val="24"/>
        </w:rPr>
      </w:pPr>
    </w:p>
    <w:p w14:paraId="01BAF39B" w14:textId="7C20414B" w:rsidR="00E712CA" w:rsidRDefault="00E712CA" w:rsidP="0092153F">
      <w:pPr>
        <w:jc w:val="both"/>
        <w:rPr>
          <w:rStyle w:val="tlid-translation"/>
          <w:szCs w:val="24"/>
        </w:rPr>
      </w:pPr>
    </w:p>
    <w:p w14:paraId="7C75DF18" w14:textId="50FC8E6F" w:rsidR="00E712CA" w:rsidRDefault="00E712CA" w:rsidP="0092153F">
      <w:pPr>
        <w:jc w:val="both"/>
        <w:rPr>
          <w:rStyle w:val="tlid-translation"/>
          <w:szCs w:val="24"/>
        </w:rPr>
      </w:pPr>
    </w:p>
    <w:p w14:paraId="03F115C4" w14:textId="52DCA0B9" w:rsidR="00E712CA" w:rsidRDefault="00E712CA" w:rsidP="0092153F">
      <w:pPr>
        <w:jc w:val="both"/>
        <w:rPr>
          <w:rStyle w:val="tlid-translation"/>
          <w:szCs w:val="24"/>
        </w:rPr>
      </w:pPr>
    </w:p>
    <w:p w14:paraId="5EDB6AB2" w14:textId="22992966" w:rsidR="00E712CA" w:rsidRDefault="00E712CA" w:rsidP="0092153F">
      <w:pPr>
        <w:jc w:val="both"/>
        <w:rPr>
          <w:rStyle w:val="tlid-translation"/>
          <w:szCs w:val="24"/>
        </w:rPr>
      </w:pPr>
    </w:p>
    <w:p w14:paraId="68D5F5C2" w14:textId="73420D28" w:rsidR="00E712CA" w:rsidRDefault="00E712CA" w:rsidP="0092153F">
      <w:pPr>
        <w:jc w:val="both"/>
        <w:rPr>
          <w:rStyle w:val="tlid-translation"/>
          <w:szCs w:val="24"/>
        </w:rPr>
      </w:pPr>
    </w:p>
    <w:p w14:paraId="47FFB722" w14:textId="77777777" w:rsidR="00E712CA" w:rsidRPr="0092153F" w:rsidRDefault="00E712CA" w:rsidP="0092153F">
      <w:pPr>
        <w:jc w:val="both"/>
        <w:rPr>
          <w:rStyle w:val="tlid-translation"/>
          <w:szCs w:val="24"/>
        </w:rPr>
      </w:pPr>
    </w:p>
    <w:p w14:paraId="638981AD" w14:textId="4BE948CC" w:rsidR="00D73172" w:rsidRPr="0092153F" w:rsidRDefault="008A398D" w:rsidP="0092153F">
      <w:pPr>
        <w:pStyle w:val="Heading1"/>
        <w:numPr>
          <w:ilvl w:val="0"/>
          <w:numId w:val="6"/>
        </w:numPr>
        <w:suppressAutoHyphens/>
        <w:spacing w:after="60"/>
        <w:ind w:left="360"/>
        <w:jc w:val="both"/>
        <w:rPr>
          <w:i w:val="0"/>
          <w:sz w:val="24"/>
          <w:szCs w:val="24"/>
          <w:lang w:val="id"/>
        </w:rPr>
      </w:pPr>
      <w:r w:rsidRPr="0092153F">
        <w:rPr>
          <w:i w:val="0"/>
          <w:sz w:val="24"/>
          <w:szCs w:val="24"/>
          <w:lang w:val="en"/>
        </w:rPr>
        <w:lastRenderedPageBreak/>
        <w:t>Conclusion</w:t>
      </w:r>
    </w:p>
    <w:p w14:paraId="5AFE957F" w14:textId="447E4E30" w:rsidR="0029100F" w:rsidRPr="0092153F" w:rsidRDefault="0029100F" w:rsidP="0092153F">
      <w:pPr>
        <w:jc w:val="both"/>
        <w:rPr>
          <w:szCs w:val="24"/>
          <w:lang w:val="id"/>
        </w:rPr>
      </w:pPr>
      <w:r w:rsidRPr="0092153F">
        <w:rPr>
          <w:szCs w:val="24"/>
          <w:lang w:val="en"/>
        </w:rPr>
        <w:t>This study use</w:t>
      </w:r>
      <w:r w:rsidR="00CD4D59">
        <w:rPr>
          <w:szCs w:val="24"/>
          <w:lang w:val="en"/>
        </w:rPr>
        <w:t xml:space="preserve">d 70 data samples from the </w:t>
      </w:r>
      <w:r w:rsidRPr="0092153F">
        <w:rPr>
          <w:szCs w:val="24"/>
          <w:lang w:val="en"/>
        </w:rPr>
        <w:t xml:space="preserve">Local Government Financial Statements </w:t>
      </w:r>
      <w:r w:rsidR="00CD4D59">
        <w:rPr>
          <w:szCs w:val="24"/>
          <w:lang w:val="en"/>
        </w:rPr>
        <w:t xml:space="preserve"> year 2019 and 2020 </w:t>
      </w:r>
      <w:r w:rsidRPr="0092153F">
        <w:rPr>
          <w:szCs w:val="24"/>
          <w:lang w:val="en"/>
        </w:rPr>
        <w:t>and Regional Regulations obtained from the Financial Audit Agency (BPK) and the Legal Documentation and Information Network (JDIH). Based on the</w:t>
      </w:r>
      <w:r w:rsidR="00281E89">
        <w:rPr>
          <w:szCs w:val="24"/>
          <w:lang w:val="en"/>
        </w:rPr>
        <w:t xml:space="preserve"> research</w:t>
      </w:r>
      <w:r w:rsidRPr="0092153F">
        <w:rPr>
          <w:szCs w:val="24"/>
          <w:lang w:val="en"/>
        </w:rPr>
        <w:t xml:space="preserve"> results of the hypothesis test using regression analysis, conclusions can be </w:t>
      </w:r>
      <w:r w:rsidR="00281E89">
        <w:rPr>
          <w:szCs w:val="24"/>
          <w:lang w:val="en"/>
        </w:rPr>
        <w:t>taken</w:t>
      </w:r>
      <w:r w:rsidRPr="0092153F">
        <w:rPr>
          <w:szCs w:val="24"/>
          <w:lang w:val="en"/>
        </w:rPr>
        <w:t xml:space="preserve"> from this </w:t>
      </w:r>
      <w:r w:rsidR="00281E89">
        <w:rPr>
          <w:szCs w:val="24"/>
          <w:lang w:val="en"/>
        </w:rPr>
        <w:t>research is</w:t>
      </w:r>
      <w:r w:rsidRPr="0092153F">
        <w:rPr>
          <w:szCs w:val="24"/>
          <w:lang w:val="en"/>
        </w:rPr>
        <w:t>:</w:t>
      </w:r>
    </w:p>
    <w:p w14:paraId="73B9FE1A" w14:textId="7E6C8EAA" w:rsidR="0029100F" w:rsidRPr="0092153F" w:rsidRDefault="0029100F" w:rsidP="0092153F">
      <w:pPr>
        <w:jc w:val="both"/>
        <w:rPr>
          <w:szCs w:val="24"/>
        </w:rPr>
      </w:pPr>
      <w:r w:rsidRPr="0092153F">
        <w:rPr>
          <w:szCs w:val="24"/>
          <w:lang w:val="en"/>
        </w:rPr>
        <w:t>1.Local Revenue has a positive effect on Capital Expenditure</w:t>
      </w:r>
    </w:p>
    <w:p w14:paraId="41562AE6" w14:textId="2D758ED9" w:rsidR="0029100F" w:rsidRPr="0092153F" w:rsidRDefault="0029100F" w:rsidP="0092153F">
      <w:pPr>
        <w:jc w:val="both"/>
        <w:rPr>
          <w:szCs w:val="24"/>
          <w:lang w:val="id"/>
        </w:rPr>
      </w:pPr>
      <w:r w:rsidRPr="0092153F">
        <w:rPr>
          <w:szCs w:val="24"/>
          <w:lang w:val="en"/>
        </w:rPr>
        <w:t xml:space="preserve">2.Local Revenue has a positive effect on Infrastructure Financing </w:t>
      </w:r>
    </w:p>
    <w:p w14:paraId="21B89259" w14:textId="50F8AFCB" w:rsidR="0029100F" w:rsidRPr="0092153F" w:rsidRDefault="0029100F" w:rsidP="0092153F">
      <w:pPr>
        <w:jc w:val="both"/>
        <w:rPr>
          <w:szCs w:val="24"/>
        </w:rPr>
      </w:pPr>
      <w:r w:rsidRPr="0092153F">
        <w:rPr>
          <w:szCs w:val="24"/>
          <w:lang w:val="en"/>
        </w:rPr>
        <w:t>3.Local Revenue negatively affects Accountability Performance</w:t>
      </w:r>
      <w:r w:rsidR="00CD4D59">
        <w:rPr>
          <w:szCs w:val="24"/>
          <w:lang w:val="en"/>
        </w:rPr>
        <w:t xml:space="preserve"> System</w:t>
      </w:r>
    </w:p>
    <w:p w14:paraId="17E16723" w14:textId="4D7E280E" w:rsidR="0029100F" w:rsidRDefault="0029100F" w:rsidP="0092153F">
      <w:pPr>
        <w:jc w:val="both"/>
        <w:rPr>
          <w:szCs w:val="24"/>
          <w:lang w:val="en"/>
        </w:rPr>
      </w:pPr>
      <w:r w:rsidRPr="0092153F">
        <w:rPr>
          <w:szCs w:val="24"/>
          <w:lang w:val="en"/>
        </w:rPr>
        <w:t>4.Local Revenue po</w:t>
      </w:r>
      <w:r w:rsidR="00CD4D59">
        <w:rPr>
          <w:szCs w:val="24"/>
          <w:lang w:val="en"/>
        </w:rPr>
        <w:t>sitively affects Budget Refocusing</w:t>
      </w:r>
    </w:p>
    <w:p w14:paraId="4F1E0744" w14:textId="38217A14" w:rsidR="00482F53" w:rsidRDefault="00482F53" w:rsidP="0041079F">
      <w:pPr>
        <w:spacing w:line="360" w:lineRule="auto"/>
        <w:rPr>
          <w:szCs w:val="24"/>
          <w:lang w:val="en"/>
        </w:rPr>
      </w:pPr>
    </w:p>
    <w:p w14:paraId="77552C3A" w14:textId="198E9A8B" w:rsidR="00E712CA" w:rsidRDefault="00E712CA">
      <w:pPr>
        <w:spacing w:line="360" w:lineRule="auto"/>
        <w:rPr>
          <w:szCs w:val="24"/>
          <w:lang w:val="en"/>
        </w:rPr>
      </w:pPr>
      <w:r>
        <w:rPr>
          <w:szCs w:val="24"/>
          <w:lang w:val="en"/>
        </w:rPr>
        <w:br w:type="page"/>
      </w:r>
    </w:p>
    <w:p w14:paraId="1477C09E" w14:textId="77777777" w:rsidR="00E712CA" w:rsidRDefault="00E712CA" w:rsidP="00E712CA">
      <w:pPr>
        <w:pStyle w:val="Heading1"/>
        <w:suppressAutoHyphens/>
        <w:spacing w:after="60"/>
        <w:jc w:val="both"/>
        <w:rPr>
          <w:i w:val="0"/>
          <w:sz w:val="24"/>
          <w:szCs w:val="24"/>
          <w:lang w:val="id"/>
        </w:rPr>
      </w:pPr>
      <w:r w:rsidRPr="003B03CB">
        <w:rPr>
          <w:i w:val="0"/>
          <w:sz w:val="24"/>
          <w:szCs w:val="24"/>
          <w:lang w:val="en"/>
        </w:rPr>
        <w:lastRenderedPageBreak/>
        <w:t>Reference</w:t>
      </w:r>
    </w:p>
    <w:p w14:paraId="51252957" w14:textId="77777777" w:rsidR="00E712CA" w:rsidRDefault="00E712CA" w:rsidP="00E712CA">
      <w:pPr>
        <w:widowControl w:val="0"/>
        <w:autoSpaceDE w:val="0"/>
        <w:autoSpaceDN w:val="0"/>
        <w:adjustRightInd w:val="0"/>
        <w:ind w:left="480" w:hanging="480"/>
        <w:rPr>
          <w:rStyle w:val="Hyperlink"/>
          <w:noProof/>
          <w:szCs w:val="24"/>
        </w:rPr>
      </w:pPr>
      <w:r w:rsidRPr="00E1198F">
        <w:rPr>
          <w:noProof/>
          <w:szCs w:val="24"/>
          <w:lang w:val="en"/>
        </w:rPr>
        <w:t xml:space="preserve">Ahrens, T., &amp; Ferry, L. (2020). Financial resilience of English local government in the aftermath of COVID-19. </w:t>
      </w:r>
      <w:r w:rsidRPr="00E1198F">
        <w:rPr>
          <w:i/>
          <w:iCs/>
          <w:noProof/>
          <w:szCs w:val="24"/>
          <w:lang w:val="en"/>
        </w:rPr>
        <w:t>Journal of Public Budgeting, Accounting and Financial Management,</w:t>
      </w:r>
      <w:r w:rsidRPr="00E1198F">
        <w:rPr>
          <w:noProof/>
          <w:szCs w:val="24"/>
          <w:lang w:val="en"/>
        </w:rPr>
        <w:t xml:space="preserve"> </w:t>
      </w:r>
      <w:r w:rsidRPr="00E1198F">
        <w:rPr>
          <w:i/>
          <w:iCs/>
          <w:noProof/>
          <w:szCs w:val="24"/>
          <w:lang w:val="en"/>
        </w:rPr>
        <w:t>32</w:t>
      </w:r>
      <w:r w:rsidRPr="00E1198F">
        <w:rPr>
          <w:noProof/>
          <w:szCs w:val="24"/>
          <w:lang w:val="en"/>
        </w:rPr>
        <w:t xml:space="preserve">(5), 813–823. </w:t>
      </w:r>
      <w:r>
        <w:rPr>
          <w:lang w:val="en"/>
        </w:rPr>
        <w:t xml:space="preserve"> </w:t>
      </w:r>
      <w:hyperlink r:id="rId18" w:history="1">
        <w:r w:rsidRPr="00371840">
          <w:rPr>
            <w:rStyle w:val="Hyperlink"/>
            <w:noProof/>
            <w:szCs w:val="24"/>
            <w:lang w:val="en"/>
          </w:rPr>
          <w:t>https://doi.org/10.1108/JPBAFM-07-2020-0098</w:t>
        </w:r>
      </w:hyperlink>
    </w:p>
    <w:p w14:paraId="19AFDFF0" w14:textId="77777777" w:rsidR="00E712CA" w:rsidRPr="00EA308B" w:rsidRDefault="00E712CA" w:rsidP="00E712CA">
      <w:pPr>
        <w:widowControl w:val="0"/>
        <w:autoSpaceDE w:val="0"/>
        <w:autoSpaceDN w:val="0"/>
        <w:adjustRightInd w:val="0"/>
        <w:ind w:left="480" w:hanging="480"/>
        <w:rPr>
          <w:noProof/>
          <w:szCs w:val="24"/>
        </w:rPr>
      </w:pPr>
      <w:r w:rsidRPr="00EA308B">
        <w:rPr>
          <w:noProof/>
          <w:szCs w:val="24"/>
          <w:lang w:val="en"/>
        </w:rPr>
        <w:t xml:space="preserve">Anas, M. (2021). Impact of Pandemic COVID-19 on Local Government's Financial Performance in Indonesia. </w:t>
      </w:r>
      <w:r w:rsidRPr="00EA308B">
        <w:rPr>
          <w:i/>
          <w:iCs/>
          <w:noProof/>
          <w:szCs w:val="24"/>
          <w:lang w:val="en"/>
        </w:rPr>
        <w:t>Journal of Southwest Jiaotong University</w:t>
      </w:r>
      <w:r w:rsidRPr="00EA308B">
        <w:rPr>
          <w:noProof/>
          <w:szCs w:val="24"/>
          <w:lang w:val="en"/>
        </w:rPr>
        <w:t xml:space="preserve">, </w:t>
      </w:r>
      <w:r w:rsidRPr="00EA308B">
        <w:rPr>
          <w:i/>
          <w:iCs/>
          <w:noProof/>
          <w:szCs w:val="24"/>
          <w:lang w:val="en"/>
        </w:rPr>
        <w:t>56</w:t>
      </w:r>
      <w:r w:rsidRPr="00EA308B">
        <w:rPr>
          <w:noProof/>
          <w:szCs w:val="24"/>
          <w:lang w:val="en"/>
        </w:rPr>
        <w:t>(3), 196–206. https://doi.org/10.35741/issn.0258-2724.56.3.16</w:t>
      </w:r>
    </w:p>
    <w:p w14:paraId="0B2EB695" w14:textId="77777777" w:rsidR="00E712CA" w:rsidRDefault="00E712CA" w:rsidP="00E712CA">
      <w:pPr>
        <w:widowControl w:val="0"/>
        <w:autoSpaceDE w:val="0"/>
        <w:autoSpaceDN w:val="0"/>
        <w:adjustRightInd w:val="0"/>
        <w:ind w:left="480" w:hanging="480"/>
        <w:rPr>
          <w:noProof/>
          <w:szCs w:val="24"/>
        </w:rPr>
      </w:pPr>
      <w:r w:rsidRPr="003B03CB">
        <w:rPr>
          <w:szCs w:val="24"/>
          <w:lang w:val="en"/>
        </w:rPr>
        <w:fldChar w:fldCharType="begin" w:fldLock="1"/>
      </w:r>
      <w:r w:rsidRPr="003B03CB">
        <w:rPr>
          <w:szCs w:val="24"/>
          <w:lang w:val="en"/>
        </w:rPr>
        <w:instrText xml:space="preserve">ADDIN Mendeley Bibliography CSL_BIBLIOGRAPHY </w:instrText>
      </w:r>
      <w:r w:rsidRPr="003B03CB">
        <w:rPr>
          <w:szCs w:val="24"/>
          <w:lang w:val="en"/>
        </w:rPr>
        <w:fldChar w:fldCharType="separate"/>
      </w:r>
      <w:r w:rsidRPr="0081233B">
        <w:rPr>
          <w:noProof/>
          <w:szCs w:val="24"/>
          <w:lang w:val="en"/>
        </w:rPr>
        <w:t xml:space="preserve">Andrew, J., Baker, M., Guthrie, J., &amp; Martin-Sardesai, A. (2020). Australia's COVID-19 public budgeting response: the straitjacket of neoliberalism. </w:t>
      </w:r>
      <w:r w:rsidRPr="0081233B">
        <w:rPr>
          <w:i/>
          <w:iCs/>
          <w:noProof/>
          <w:szCs w:val="24"/>
          <w:lang w:val="en"/>
        </w:rPr>
        <w:t>Journal of Public Budgeting, Accounting and Financial Management,</w:t>
      </w:r>
      <w:r w:rsidRPr="0081233B">
        <w:rPr>
          <w:noProof/>
          <w:szCs w:val="24"/>
          <w:lang w:val="en"/>
        </w:rPr>
        <w:t xml:space="preserve"> </w:t>
      </w:r>
      <w:r w:rsidRPr="0081233B">
        <w:rPr>
          <w:i/>
          <w:iCs/>
          <w:noProof/>
          <w:szCs w:val="24"/>
          <w:lang w:val="en"/>
        </w:rPr>
        <w:t>32</w:t>
      </w:r>
      <w:r w:rsidRPr="0081233B">
        <w:rPr>
          <w:noProof/>
          <w:szCs w:val="24"/>
          <w:lang w:val="en"/>
        </w:rPr>
        <w:t>(5), 759–770. https://doi.org/10.1108/JPBAFM-07-2020-0096</w:t>
      </w:r>
    </w:p>
    <w:p w14:paraId="1A1F350B" w14:textId="77777777" w:rsidR="00E712CA" w:rsidRDefault="00E712CA" w:rsidP="00E712CA">
      <w:pPr>
        <w:widowControl w:val="0"/>
        <w:autoSpaceDE w:val="0"/>
        <w:autoSpaceDN w:val="0"/>
        <w:adjustRightInd w:val="0"/>
        <w:ind w:left="480" w:hanging="480"/>
        <w:rPr>
          <w:noProof/>
          <w:szCs w:val="24"/>
        </w:rPr>
      </w:pPr>
      <w:r w:rsidRPr="0010564D">
        <w:rPr>
          <w:noProof/>
          <w:szCs w:val="24"/>
          <w:lang w:val="en"/>
        </w:rPr>
        <w:t xml:space="preserve">Auerbach, A. J., &amp; Gale, W. (2020). The effects of the COVID pandemic on the federal budget outlook. </w:t>
      </w:r>
      <w:r w:rsidRPr="0010564D">
        <w:rPr>
          <w:i/>
          <w:iCs/>
          <w:noProof/>
          <w:szCs w:val="24"/>
          <w:lang w:val="en"/>
        </w:rPr>
        <w:t>Business Economics</w:t>
      </w:r>
      <w:r w:rsidRPr="0010564D">
        <w:rPr>
          <w:noProof/>
          <w:szCs w:val="24"/>
          <w:lang w:val="en"/>
        </w:rPr>
        <w:t xml:space="preserve">, </w:t>
      </w:r>
      <w:r w:rsidRPr="0010564D">
        <w:rPr>
          <w:i/>
          <w:iCs/>
          <w:noProof/>
          <w:szCs w:val="24"/>
          <w:lang w:val="en"/>
        </w:rPr>
        <w:t>55</w:t>
      </w:r>
      <w:r w:rsidRPr="0010564D">
        <w:rPr>
          <w:noProof/>
          <w:szCs w:val="24"/>
          <w:lang w:val="en"/>
        </w:rPr>
        <w:t>(4), 202–212. https://doi.org/10.1057/s11369-020-00188-y</w:t>
      </w:r>
    </w:p>
    <w:p w14:paraId="3A42A257" w14:textId="77777777" w:rsidR="00E712CA" w:rsidRPr="0081233B" w:rsidRDefault="00E712CA" w:rsidP="00E712CA">
      <w:pPr>
        <w:widowControl w:val="0"/>
        <w:autoSpaceDE w:val="0"/>
        <w:autoSpaceDN w:val="0"/>
        <w:adjustRightInd w:val="0"/>
        <w:ind w:left="480" w:hanging="480"/>
        <w:rPr>
          <w:noProof/>
          <w:szCs w:val="24"/>
        </w:rPr>
      </w:pPr>
      <w:r w:rsidRPr="00DE10E1">
        <w:rPr>
          <w:noProof/>
          <w:szCs w:val="24"/>
          <w:lang w:val="en"/>
        </w:rPr>
        <w:t>Barroy, H. (2020). How to Budget for Covid -19 response? A rapid scan of budgetary mechanisms in highly affected countries.</w:t>
      </w:r>
    </w:p>
    <w:p w14:paraId="295AB80D" w14:textId="77777777" w:rsidR="00E712CA" w:rsidRDefault="00E712CA" w:rsidP="00E712CA">
      <w:pPr>
        <w:widowControl w:val="0"/>
        <w:autoSpaceDE w:val="0"/>
        <w:autoSpaceDN w:val="0"/>
        <w:adjustRightInd w:val="0"/>
        <w:ind w:left="480" w:hanging="480"/>
        <w:rPr>
          <w:noProof/>
          <w:szCs w:val="24"/>
        </w:rPr>
      </w:pPr>
      <w:r w:rsidRPr="0081233B">
        <w:rPr>
          <w:noProof/>
          <w:szCs w:val="24"/>
          <w:lang w:val="en"/>
        </w:rPr>
        <w:t xml:space="preserve">Chan, J., Jones, R., &amp; Lüder, K. (1996). Modeling Governmental Accounting Innovations. </w:t>
      </w:r>
      <w:r w:rsidRPr="0081233B">
        <w:rPr>
          <w:i/>
          <w:iCs/>
          <w:noProof/>
          <w:szCs w:val="24"/>
          <w:lang w:val="en"/>
        </w:rPr>
        <w:t>Research in Governmental and ...</w:t>
      </w:r>
      <w:r>
        <w:rPr>
          <w:lang w:val="en"/>
        </w:rPr>
        <w:t xml:space="preserve"> </w:t>
      </w:r>
      <w:r w:rsidRPr="0081233B">
        <w:rPr>
          <w:noProof/>
          <w:szCs w:val="24"/>
          <w:lang w:val="en"/>
        </w:rPr>
        <w:t xml:space="preserve"> </w:t>
      </w:r>
      <w:r>
        <w:rPr>
          <w:lang w:val="en"/>
        </w:rPr>
        <w:t xml:space="preserve">, </w:t>
      </w:r>
      <w:r w:rsidRPr="0081233B">
        <w:rPr>
          <w:i/>
          <w:iCs/>
          <w:noProof/>
          <w:szCs w:val="24"/>
          <w:lang w:val="en"/>
        </w:rPr>
        <w:t>9</w:t>
      </w:r>
      <w:r w:rsidRPr="0081233B">
        <w:rPr>
          <w:noProof/>
          <w:szCs w:val="24"/>
          <w:lang w:val="en"/>
        </w:rPr>
        <w:t>, 01–19. http://jameslchan.com/papers/E1_ChanJonesLuder1996Modeling.pdf</w:t>
      </w:r>
    </w:p>
    <w:p w14:paraId="18539966" w14:textId="77777777" w:rsidR="00E712CA" w:rsidRPr="00EA308B" w:rsidRDefault="00E712CA" w:rsidP="00E712CA">
      <w:pPr>
        <w:widowControl w:val="0"/>
        <w:autoSpaceDE w:val="0"/>
        <w:autoSpaceDN w:val="0"/>
        <w:adjustRightInd w:val="0"/>
        <w:ind w:left="480" w:hanging="480"/>
        <w:rPr>
          <w:i/>
          <w:iCs/>
          <w:noProof/>
          <w:szCs w:val="24"/>
        </w:rPr>
      </w:pPr>
      <w:r>
        <w:rPr>
          <w:noProof/>
          <w:szCs w:val="24"/>
          <w:lang w:val="en"/>
        </w:rPr>
        <w:t xml:space="preserve">Desdiani, N.A., Sabrina, S., Husna,M .et al . </w:t>
      </w:r>
      <w:r>
        <w:rPr>
          <w:i/>
          <w:iCs/>
          <w:noProof/>
          <w:szCs w:val="24"/>
          <w:lang w:val="en"/>
        </w:rPr>
        <w:t xml:space="preserve">Local Budget Resilience in Times of COVID-19 Crisis : Evidence from Indonesia. </w:t>
      </w:r>
    </w:p>
    <w:p w14:paraId="5A30AD41" w14:textId="77777777" w:rsidR="00E712CA" w:rsidRDefault="00E712CA" w:rsidP="00E712CA">
      <w:pPr>
        <w:widowControl w:val="0"/>
        <w:autoSpaceDE w:val="0"/>
        <w:autoSpaceDN w:val="0"/>
        <w:adjustRightInd w:val="0"/>
        <w:ind w:left="480" w:hanging="480"/>
        <w:rPr>
          <w:noProof/>
          <w:szCs w:val="24"/>
        </w:rPr>
      </w:pPr>
      <w:r>
        <w:rPr>
          <w:noProof/>
          <w:szCs w:val="24"/>
          <w:lang w:val="en"/>
        </w:rPr>
        <w:t>D</w:t>
      </w:r>
      <w:r w:rsidRPr="00C16B9B">
        <w:rPr>
          <w:noProof/>
          <w:szCs w:val="24"/>
          <w:lang w:val="en"/>
        </w:rPr>
        <w:t xml:space="preserve">e Villiers, C., Cerbone, D., &amp; Van Zijl, W. (2020). The South African government's response to COVID-19. </w:t>
      </w:r>
      <w:r w:rsidRPr="00C16B9B">
        <w:rPr>
          <w:i/>
          <w:iCs/>
          <w:noProof/>
          <w:szCs w:val="24"/>
          <w:lang w:val="en"/>
        </w:rPr>
        <w:t>Journal of Public Budgeting, Accounting and Financial Management,</w:t>
      </w:r>
      <w:r w:rsidRPr="00C16B9B">
        <w:rPr>
          <w:noProof/>
          <w:szCs w:val="24"/>
          <w:lang w:val="en"/>
        </w:rPr>
        <w:t xml:space="preserve"> </w:t>
      </w:r>
      <w:r w:rsidRPr="00C16B9B">
        <w:rPr>
          <w:i/>
          <w:iCs/>
          <w:noProof/>
          <w:szCs w:val="24"/>
          <w:lang w:val="en"/>
        </w:rPr>
        <w:t>32</w:t>
      </w:r>
      <w:r w:rsidRPr="00C16B9B">
        <w:rPr>
          <w:noProof/>
          <w:szCs w:val="24"/>
          <w:lang w:val="en"/>
        </w:rPr>
        <w:t>(5), 797–811. https://doi.org/10.1108/JPBAFM-07-2020-0120</w:t>
      </w:r>
    </w:p>
    <w:p w14:paraId="1873703B" w14:textId="77777777" w:rsidR="00E712CA" w:rsidRPr="0081233B" w:rsidRDefault="00E712CA" w:rsidP="00E712CA">
      <w:pPr>
        <w:widowControl w:val="0"/>
        <w:autoSpaceDE w:val="0"/>
        <w:autoSpaceDN w:val="0"/>
        <w:adjustRightInd w:val="0"/>
        <w:ind w:left="480" w:hanging="480"/>
        <w:rPr>
          <w:noProof/>
          <w:szCs w:val="24"/>
        </w:rPr>
      </w:pPr>
      <w:r w:rsidRPr="003B03CB">
        <w:rPr>
          <w:szCs w:val="24"/>
          <w:lang w:val="en"/>
        </w:rPr>
        <w:t xml:space="preserve">Green , D., &amp; </w:t>
      </w:r>
      <w:proofErr w:type="spellStart"/>
      <w:r w:rsidRPr="003B03CB">
        <w:rPr>
          <w:szCs w:val="24"/>
          <w:lang w:val="en"/>
        </w:rPr>
        <w:t>Loualiche</w:t>
      </w:r>
      <w:proofErr w:type="spellEnd"/>
      <w:r w:rsidRPr="003B03CB">
        <w:rPr>
          <w:szCs w:val="24"/>
          <w:lang w:val="en"/>
        </w:rPr>
        <w:t xml:space="preserve">, E.  (2020). </w:t>
      </w:r>
      <w:r w:rsidRPr="003B03CB">
        <w:rPr>
          <w:i/>
          <w:iCs/>
          <w:szCs w:val="24"/>
          <w:lang w:val="en"/>
        </w:rPr>
        <w:t xml:space="preserve">State and Local Government Employment in the Covid 19 </w:t>
      </w:r>
      <w:proofErr w:type="spellStart"/>
      <w:r w:rsidRPr="003B03CB">
        <w:rPr>
          <w:i/>
          <w:iCs/>
          <w:szCs w:val="24"/>
          <w:lang w:val="en"/>
        </w:rPr>
        <w:t>Crisis.Harvard</w:t>
      </w:r>
      <w:proofErr w:type="spellEnd"/>
      <w:r w:rsidRPr="003B03CB">
        <w:rPr>
          <w:i/>
          <w:iCs/>
          <w:szCs w:val="24"/>
          <w:lang w:val="en"/>
        </w:rPr>
        <w:t xml:space="preserve"> University. Boston: Harvard Business School.</w:t>
      </w:r>
    </w:p>
    <w:p w14:paraId="1FA54434" w14:textId="77777777" w:rsidR="00E712CA" w:rsidRDefault="00E712CA" w:rsidP="00E712CA">
      <w:pPr>
        <w:widowControl w:val="0"/>
        <w:autoSpaceDE w:val="0"/>
        <w:autoSpaceDN w:val="0"/>
        <w:adjustRightInd w:val="0"/>
        <w:ind w:left="480" w:hanging="480"/>
        <w:rPr>
          <w:noProof/>
          <w:szCs w:val="24"/>
        </w:rPr>
      </w:pPr>
      <w:r w:rsidRPr="0081233B">
        <w:rPr>
          <w:noProof/>
          <w:szCs w:val="24"/>
          <w:lang w:val="en"/>
        </w:rPr>
        <w:t xml:space="preserve">Harrison, C. (2020). Contingency Leadership Theory. </w:t>
      </w:r>
      <w:r w:rsidRPr="0081233B">
        <w:rPr>
          <w:i/>
          <w:iCs/>
          <w:noProof/>
          <w:szCs w:val="24"/>
          <w:lang w:val="en"/>
        </w:rPr>
        <w:t>Traditional Paradigms of Leadership</w:t>
      </w:r>
      <w:r w:rsidRPr="0081233B">
        <w:rPr>
          <w:noProof/>
          <w:szCs w:val="24"/>
          <w:lang w:val="en"/>
        </w:rPr>
        <w:t xml:space="preserve">, </w:t>
      </w:r>
      <w:r>
        <w:rPr>
          <w:lang w:val="en"/>
        </w:rPr>
        <w:t xml:space="preserve"> 1</w:t>
      </w:r>
      <w:r w:rsidRPr="0081233B">
        <w:rPr>
          <w:noProof/>
          <w:szCs w:val="24"/>
          <w:lang w:val="en"/>
        </w:rPr>
        <w:t>(1), 76–87. https://doi.org/10.1007/978-3-030-40805-3_3</w:t>
      </w:r>
    </w:p>
    <w:p w14:paraId="22363E48" w14:textId="77777777" w:rsidR="00E712CA" w:rsidRDefault="00E712CA" w:rsidP="00E712CA">
      <w:pPr>
        <w:widowControl w:val="0"/>
        <w:autoSpaceDE w:val="0"/>
        <w:autoSpaceDN w:val="0"/>
        <w:adjustRightInd w:val="0"/>
        <w:ind w:left="480" w:hanging="480"/>
        <w:rPr>
          <w:noProof/>
          <w:szCs w:val="24"/>
        </w:rPr>
      </w:pPr>
      <w:r w:rsidRPr="00C50EAE">
        <w:rPr>
          <w:noProof/>
          <w:szCs w:val="24"/>
          <w:lang w:val="en"/>
        </w:rPr>
        <w:t xml:space="preserve">Isaac, J. F. (2022). The Impact of the COVID-19 Pandemic on the Capital Expenditures of Province in Indonesia. </w:t>
      </w:r>
      <w:r w:rsidRPr="00C50EAE">
        <w:rPr>
          <w:i/>
          <w:iCs/>
          <w:noProof/>
          <w:szCs w:val="24"/>
          <w:lang w:val="en"/>
        </w:rPr>
        <w:t>Portals</w:t>
      </w:r>
      <w:r w:rsidRPr="00C50EAE">
        <w:rPr>
          <w:noProof/>
          <w:szCs w:val="24"/>
          <w:lang w:val="en"/>
        </w:rPr>
        <w:t xml:space="preserve">, </w:t>
      </w:r>
      <w:r w:rsidRPr="00C50EAE">
        <w:rPr>
          <w:i/>
          <w:iCs/>
          <w:noProof/>
          <w:szCs w:val="24"/>
          <w:lang w:val="en"/>
        </w:rPr>
        <w:t>22</w:t>
      </w:r>
      <w:r w:rsidRPr="00C50EAE">
        <w:rPr>
          <w:noProof/>
          <w:szCs w:val="24"/>
          <w:lang w:val="en"/>
        </w:rPr>
        <w:t>(4), 879–917. https://doi.org/10.1353/pla.2022.0046</w:t>
      </w:r>
    </w:p>
    <w:p w14:paraId="16001D43" w14:textId="77777777" w:rsidR="00E712CA" w:rsidRDefault="00E712CA" w:rsidP="00E712CA">
      <w:pPr>
        <w:widowControl w:val="0"/>
        <w:autoSpaceDE w:val="0"/>
        <w:autoSpaceDN w:val="0"/>
        <w:adjustRightInd w:val="0"/>
        <w:ind w:left="480" w:hanging="480"/>
        <w:rPr>
          <w:noProof/>
          <w:szCs w:val="24"/>
        </w:rPr>
      </w:pPr>
      <w:r>
        <w:rPr>
          <w:noProof/>
          <w:szCs w:val="24"/>
          <w:lang w:val="en"/>
        </w:rPr>
        <w:t>Jorge, S., Mattei, G. (2018). Contingency Model of Reforms in Public Sector Accounting. In:Farazmand,A. (eds) Global Encyclopedia of Public Administration, Public Policy, and Governance. Springer, Cham. https://doi.org./10.1007/978-3-319-20928-9_2295</w:t>
      </w:r>
    </w:p>
    <w:p w14:paraId="1D6F434C" w14:textId="77777777" w:rsidR="00E712CA" w:rsidRDefault="00E712CA" w:rsidP="00E712CA">
      <w:pPr>
        <w:jc w:val="both"/>
        <w:rPr>
          <w:szCs w:val="24"/>
        </w:rPr>
      </w:pPr>
      <w:r w:rsidRPr="003B03CB">
        <w:rPr>
          <w:szCs w:val="24"/>
          <w:lang w:val="en"/>
        </w:rPr>
        <w:t xml:space="preserve">Kemenkeu.go.id / Publications. </w:t>
      </w:r>
      <w:proofErr w:type="spellStart"/>
      <w:r w:rsidRPr="003B03CB">
        <w:rPr>
          <w:szCs w:val="24"/>
          <w:lang w:val="en"/>
        </w:rPr>
        <w:t>Recofusing</w:t>
      </w:r>
      <w:proofErr w:type="spellEnd"/>
      <w:r w:rsidRPr="003B03CB">
        <w:rPr>
          <w:szCs w:val="24"/>
          <w:lang w:val="en"/>
        </w:rPr>
        <w:t xml:space="preserve"> Rp 26.2 Trillion Budget for Handling Covid/19</w:t>
      </w:r>
    </w:p>
    <w:p w14:paraId="507577AD" w14:textId="77777777" w:rsidR="00E712CA" w:rsidRPr="0081233B" w:rsidRDefault="00E712CA" w:rsidP="00E712CA">
      <w:pPr>
        <w:widowControl w:val="0"/>
        <w:autoSpaceDE w:val="0"/>
        <w:autoSpaceDN w:val="0"/>
        <w:adjustRightInd w:val="0"/>
        <w:ind w:left="480" w:hanging="480"/>
        <w:rPr>
          <w:noProof/>
          <w:szCs w:val="24"/>
        </w:rPr>
      </w:pPr>
      <w:r>
        <w:rPr>
          <w:noProof/>
          <w:szCs w:val="24"/>
          <w:lang w:val="en"/>
        </w:rPr>
        <w:t xml:space="preserve">Klimanov V, Kazakova S, Mikhaylova A .et al (2021). </w:t>
      </w:r>
      <w:r w:rsidRPr="002F432B">
        <w:rPr>
          <w:i/>
          <w:iCs/>
          <w:noProof/>
          <w:szCs w:val="24"/>
          <w:lang w:val="en"/>
        </w:rPr>
        <w:t>Fiscal resilience of Russia's regions in the face of COVID-19</w:t>
      </w:r>
      <w:r>
        <w:rPr>
          <w:i/>
          <w:iCs/>
          <w:noProof/>
          <w:szCs w:val="24"/>
          <w:lang w:val="en"/>
        </w:rPr>
        <w:t xml:space="preserve">. </w:t>
      </w:r>
      <w:r w:rsidRPr="002F432B">
        <w:rPr>
          <w:noProof/>
          <w:szCs w:val="24"/>
          <w:lang w:val="en"/>
        </w:rPr>
        <w:t>Journal of Public Budgeting,Accounting and Financial Management (2021) 33 (1) 87-94</w:t>
      </w:r>
    </w:p>
    <w:p w14:paraId="457D031C" w14:textId="77777777" w:rsidR="00E712CA" w:rsidRPr="0081233B" w:rsidRDefault="00E712CA" w:rsidP="00E712CA">
      <w:pPr>
        <w:widowControl w:val="0"/>
        <w:autoSpaceDE w:val="0"/>
        <w:autoSpaceDN w:val="0"/>
        <w:adjustRightInd w:val="0"/>
        <w:ind w:left="480" w:hanging="480"/>
        <w:rPr>
          <w:noProof/>
          <w:szCs w:val="24"/>
        </w:rPr>
      </w:pPr>
      <w:r w:rsidRPr="0081233B">
        <w:rPr>
          <w:noProof/>
          <w:szCs w:val="24"/>
          <w:lang w:val="en"/>
        </w:rPr>
        <w:t xml:space="preserve">Lüder, K. (2002). Research in Comparative Governmental Accounting Over the Last Decade — Achievements and Problems —. </w:t>
      </w:r>
      <w:r w:rsidRPr="0081233B">
        <w:rPr>
          <w:i/>
          <w:iCs/>
          <w:noProof/>
          <w:szCs w:val="24"/>
          <w:lang w:val="en"/>
        </w:rPr>
        <w:t>Innovations in Governmental Accounting</w:t>
      </w:r>
      <w:r w:rsidRPr="0081233B">
        <w:rPr>
          <w:noProof/>
          <w:szCs w:val="24"/>
          <w:lang w:val="en"/>
        </w:rPr>
        <w:t>, 1–21. https://doi.org/10.1007/978-1-4757-5504-6_1</w:t>
      </w:r>
    </w:p>
    <w:p w14:paraId="67ED2C26" w14:textId="77777777" w:rsidR="00E712CA" w:rsidRDefault="00E712CA" w:rsidP="00E712CA">
      <w:pPr>
        <w:widowControl w:val="0"/>
        <w:autoSpaceDE w:val="0"/>
        <w:autoSpaceDN w:val="0"/>
        <w:adjustRightInd w:val="0"/>
        <w:ind w:left="480" w:hanging="480"/>
        <w:rPr>
          <w:noProof/>
          <w:szCs w:val="24"/>
        </w:rPr>
      </w:pPr>
      <w:r w:rsidRPr="0081233B">
        <w:rPr>
          <w:noProof/>
          <w:szCs w:val="24"/>
          <w:lang w:val="en"/>
        </w:rPr>
        <w:t xml:space="preserve">Lüder, K. G. (1992). A Contingency Model of Governmental Accounting Innovations in the Political- Administrative Environment. </w:t>
      </w:r>
      <w:r w:rsidRPr="0081233B">
        <w:rPr>
          <w:i/>
          <w:iCs/>
          <w:noProof/>
          <w:szCs w:val="24"/>
          <w:lang w:val="en"/>
        </w:rPr>
        <w:t>Research in Governmental and Nonprofit Accounting</w:t>
      </w:r>
      <w:r>
        <w:rPr>
          <w:lang w:val="en"/>
        </w:rPr>
        <w:t xml:space="preserve">, </w:t>
      </w:r>
      <w:r w:rsidRPr="0081233B">
        <w:rPr>
          <w:i/>
          <w:iCs/>
          <w:noProof/>
          <w:szCs w:val="24"/>
          <w:lang w:val="en"/>
        </w:rPr>
        <w:t>7</w:t>
      </w:r>
      <w:r w:rsidRPr="0081233B">
        <w:rPr>
          <w:noProof/>
          <w:szCs w:val="24"/>
          <w:lang w:val="en"/>
        </w:rPr>
        <w:t>, 99–127.</w:t>
      </w:r>
    </w:p>
    <w:p w14:paraId="10C3ABFD" w14:textId="77777777" w:rsidR="00E712CA" w:rsidRPr="0081233B" w:rsidRDefault="00E712CA" w:rsidP="00E712CA">
      <w:pPr>
        <w:widowControl w:val="0"/>
        <w:autoSpaceDE w:val="0"/>
        <w:autoSpaceDN w:val="0"/>
        <w:adjustRightInd w:val="0"/>
        <w:ind w:left="480" w:hanging="480"/>
        <w:rPr>
          <w:noProof/>
          <w:szCs w:val="24"/>
        </w:rPr>
      </w:pPr>
      <w:r>
        <w:rPr>
          <w:noProof/>
          <w:szCs w:val="24"/>
          <w:lang w:val="en"/>
        </w:rPr>
        <w:t>Mkasiwa, T.A. (2020), "Budgetary practices in a Tanzanian University: Bourdieu's theory", Journal of Public Budgeting,Accounting &amp; Financial Management, Vol. 32 No. 3, pp.399-420. https://doi,org/10.1108/JPBAFM - 08-2019-0119</w:t>
      </w:r>
    </w:p>
    <w:p w14:paraId="3DA9B7E4" w14:textId="77777777" w:rsidR="00E712CA" w:rsidRPr="0081233B" w:rsidRDefault="00E712CA" w:rsidP="00E712CA">
      <w:pPr>
        <w:widowControl w:val="0"/>
        <w:autoSpaceDE w:val="0"/>
        <w:autoSpaceDN w:val="0"/>
        <w:adjustRightInd w:val="0"/>
        <w:ind w:left="480" w:hanging="480"/>
        <w:rPr>
          <w:noProof/>
          <w:szCs w:val="24"/>
        </w:rPr>
      </w:pPr>
      <w:r w:rsidRPr="0081233B">
        <w:rPr>
          <w:noProof/>
          <w:szCs w:val="24"/>
          <w:lang w:val="en"/>
        </w:rPr>
        <w:lastRenderedPageBreak/>
        <w:t xml:space="preserve">Nelliyanti, et al (2016). (2016). </w:t>
      </w:r>
      <w:r w:rsidRPr="0081233B">
        <w:rPr>
          <w:i/>
          <w:iCs/>
          <w:noProof/>
          <w:szCs w:val="24"/>
          <w:lang w:val="en"/>
        </w:rPr>
        <w:t>INDIRECT SHOPPING (Study on District/City Government in Aceh)</w:t>
      </w:r>
      <w:r w:rsidRPr="0081233B">
        <w:rPr>
          <w:noProof/>
          <w:szCs w:val="24"/>
          <w:lang w:val="en"/>
        </w:rPr>
        <w:t xml:space="preserve">. </w:t>
      </w:r>
      <w:r>
        <w:rPr>
          <w:lang w:val="en"/>
        </w:rPr>
        <w:t xml:space="preserve"> </w:t>
      </w:r>
      <w:r w:rsidRPr="0081233B">
        <w:rPr>
          <w:i/>
          <w:iCs/>
          <w:noProof/>
          <w:szCs w:val="24"/>
          <w:lang w:val="en"/>
        </w:rPr>
        <w:t>5</w:t>
      </w:r>
      <w:r w:rsidRPr="0081233B">
        <w:rPr>
          <w:noProof/>
          <w:szCs w:val="24"/>
          <w:lang w:val="en"/>
        </w:rPr>
        <w:t>(2), 68–78.</w:t>
      </w:r>
    </w:p>
    <w:p w14:paraId="33007B66" w14:textId="77777777" w:rsidR="00E712CA" w:rsidRDefault="00E712CA" w:rsidP="00E712CA">
      <w:pPr>
        <w:widowControl w:val="0"/>
        <w:autoSpaceDE w:val="0"/>
        <w:autoSpaceDN w:val="0"/>
        <w:adjustRightInd w:val="0"/>
        <w:ind w:left="480" w:hanging="480"/>
        <w:rPr>
          <w:noProof/>
          <w:szCs w:val="24"/>
        </w:rPr>
      </w:pPr>
      <w:r w:rsidRPr="0081233B">
        <w:rPr>
          <w:noProof/>
          <w:szCs w:val="24"/>
          <w:lang w:val="en"/>
        </w:rPr>
        <w:t xml:space="preserve">Nkundabanyanga S.P., J., &amp; K., A. E. et al. (2011). </w:t>
      </w:r>
      <w:r w:rsidRPr="0081233B">
        <w:rPr>
          <w:i/>
          <w:iCs/>
          <w:noProof/>
          <w:szCs w:val="24"/>
          <w:lang w:val="en"/>
        </w:rPr>
        <w:t>Contingency factors and budget actors' behaviour during COVID-19: the case of Uganda</w:t>
      </w:r>
      <w:r w:rsidRPr="0081233B">
        <w:rPr>
          <w:noProof/>
          <w:szCs w:val="24"/>
          <w:lang w:val="en"/>
        </w:rPr>
        <w:t>. 1–28.</w:t>
      </w:r>
    </w:p>
    <w:p w14:paraId="348ABC2A" w14:textId="77777777" w:rsidR="00E712CA" w:rsidRPr="002F432B" w:rsidRDefault="00E712CA" w:rsidP="00E712CA">
      <w:pPr>
        <w:widowControl w:val="0"/>
        <w:autoSpaceDE w:val="0"/>
        <w:autoSpaceDN w:val="0"/>
        <w:adjustRightInd w:val="0"/>
        <w:ind w:left="480" w:hanging="480"/>
        <w:rPr>
          <w:noProof/>
          <w:szCs w:val="24"/>
        </w:rPr>
      </w:pPr>
      <w:r w:rsidRPr="00871EF1">
        <w:rPr>
          <w:noProof/>
          <w:szCs w:val="24"/>
          <w:lang w:val="en"/>
        </w:rPr>
        <w:t xml:space="preserve">Okfitasari, A., Rachmadani, W. S., Rosadi, S., Lestari, I. P., &amp; Hastuti, I. (2021). Review of Refocusing and Reallocation of The Local Government Budget in Handling Covid-19 in Indonesia. </w:t>
      </w:r>
      <w:r w:rsidRPr="00871EF1">
        <w:rPr>
          <w:i/>
          <w:iCs/>
          <w:noProof/>
          <w:szCs w:val="24"/>
          <w:lang w:val="en"/>
        </w:rPr>
        <w:t>International Conference Health, Science And Technology (ICOHETECH)</w:t>
      </w:r>
      <w:r>
        <w:rPr>
          <w:lang w:val="en"/>
        </w:rPr>
        <w:t xml:space="preserve">, </w:t>
      </w:r>
      <w:r w:rsidRPr="00871EF1">
        <w:rPr>
          <w:i/>
          <w:iCs/>
          <w:noProof/>
          <w:szCs w:val="24"/>
          <w:lang w:val="en"/>
        </w:rPr>
        <w:t>1</w:t>
      </w:r>
      <w:r w:rsidRPr="00871EF1">
        <w:rPr>
          <w:noProof/>
          <w:szCs w:val="24"/>
          <w:lang w:val="en"/>
        </w:rPr>
        <w:t>, 269–273. http://ojs.udb.ac.id/index.php/icohetech/article/view/1139</w:t>
      </w:r>
    </w:p>
    <w:p w14:paraId="4961755E" w14:textId="77777777" w:rsidR="00E712CA" w:rsidRDefault="00E712CA" w:rsidP="00E712CA">
      <w:pPr>
        <w:widowControl w:val="0"/>
        <w:autoSpaceDE w:val="0"/>
        <w:autoSpaceDN w:val="0"/>
        <w:adjustRightInd w:val="0"/>
        <w:ind w:left="480" w:hanging="480"/>
        <w:rPr>
          <w:noProof/>
          <w:szCs w:val="24"/>
        </w:rPr>
      </w:pPr>
      <w:r>
        <w:rPr>
          <w:noProof/>
          <w:szCs w:val="24"/>
          <w:lang w:val="en"/>
        </w:rPr>
        <w:t>Ozili, P. (2022), "</w:t>
      </w:r>
      <w:r w:rsidRPr="00585456">
        <w:rPr>
          <w:i/>
          <w:iCs/>
          <w:noProof/>
          <w:szCs w:val="24"/>
          <w:lang w:val="en"/>
        </w:rPr>
        <w:t>COVID-19 in Africa :socio-economic impact,policy response and opportunities</w:t>
      </w:r>
      <w:r>
        <w:rPr>
          <w:noProof/>
          <w:szCs w:val="24"/>
          <w:lang w:val="en"/>
        </w:rPr>
        <w:t>", International Journal of Sociology and Social Policy, Vol.42 No 3/4,pp. 177-200. htpps://doi.org/10.1108/IJSSP-05-2020-0171</w:t>
      </w:r>
    </w:p>
    <w:p w14:paraId="3AE07662" w14:textId="77777777" w:rsidR="00E712CA" w:rsidRDefault="00E712CA" w:rsidP="00E712CA">
      <w:pPr>
        <w:widowControl w:val="0"/>
        <w:autoSpaceDE w:val="0"/>
        <w:autoSpaceDN w:val="0"/>
        <w:adjustRightInd w:val="0"/>
        <w:ind w:left="480" w:hanging="480"/>
        <w:rPr>
          <w:noProof/>
          <w:szCs w:val="24"/>
        </w:rPr>
      </w:pPr>
      <w:r w:rsidRPr="00871EF1">
        <w:rPr>
          <w:noProof/>
          <w:szCs w:val="24"/>
          <w:lang w:val="en"/>
        </w:rPr>
        <w:t xml:space="preserve">Padovani, E., Iacuzzi, S., Jorge, S., &amp; Pimentel, L. (2021). Municipal financial vulnerability in pandemic crises: a framework for analysis. </w:t>
      </w:r>
      <w:r w:rsidRPr="00871EF1">
        <w:rPr>
          <w:i/>
          <w:iCs/>
          <w:noProof/>
          <w:szCs w:val="24"/>
          <w:lang w:val="en"/>
        </w:rPr>
        <w:t>Journal of Public Budgeting, Accounting and Financial Management,</w:t>
      </w:r>
      <w:r w:rsidRPr="00871EF1">
        <w:rPr>
          <w:noProof/>
          <w:szCs w:val="24"/>
          <w:lang w:val="en"/>
        </w:rPr>
        <w:t xml:space="preserve"> </w:t>
      </w:r>
      <w:r w:rsidRPr="00871EF1">
        <w:rPr>
          <w:i/>
          <w:iCs/>
          <w:noProof/>
          <w:szCs w:val="24"/>
          <w:lang w:val="en"/>
        </w:rPr>
        <w:t>33</w:t>
      </w:r>
      <w:r w:rsidRPr="00871EF1">
        <w:rPr>
          <w:noProof/>
          <w:szCs w:val="24"/>
          <w:lang w:val="en"/>
        </w:rPr>
        <w:t>(4), 387–408. https://doi.org/10.1108/JPBAFM-07-2020-0129</w:t>
      </w:r>
    </w:p>
    <w:p w14:paraId="502A6245" w14:textId="77777777" w:rsidR="00E712CA" w:rsidRPr="0081233B" w:rsidRDefault="00E712CA" w:rsidP="00E712CA">
      <w:pPr>
        <w:widowControl w:val="0"/>
        <w:autoSpaceDE w:val="0"/>
        <w:autoSpaceDN w:val="0"/>
        <w:adjustRightInd w:val="0"/>
        <w:ind w:left="480" w:hanging="480"/>
        <w:rPr>
          <w:noProof/>
          <w:szCs w:val="24"/>
        </w:rPr>
      </w:pPr>
      <w:r w:rsidRPr="00FE5666">
        <w:rPr>
          <w:noProof/>
          <w:szCs w:val="24"/>
          <w:lang w:val="en"/>
        </w:rPr>
        <w:t xml:space="preserve">Rifa'i, A., Tuba, S., &amp; Purwanto, E. (2020). </w:t>
      </w:r>
      <w:r w:rsidRPr="00FE5666">
        <w:rPr>
          <w:i/>
          <w:iCs/>
          <w:noProof/>
          <w:szCs w:val="24"/>
          <w:lang w:val="en"/>
        </w:rPr>
        <w:t>Economic Capital, Health Crisis, and the Governmental Habitus in the Age of Covid-19 in Indonesia: A Critical Review</w:t>
      </w:r>
      <w:r w:rsidRPr="00FE5666">
        <w:rPr>
          <w:noProof/>
          <w:szCs w:val="24"/>
          <w:lang w:val="en"/>
        </w:rPr>
        <w:t xml:space="preserve">. </w:t>
      </w:r>
      <w:r w:rsidRPr="00FE5666">
        <w:rPr>
          <w:i/>
          <w:iCs/>
          <w:noProof/>
          <w:szCs w:val="24"/>
          <w:lang w:val="en"/>
        </w:rPr>
        <w:t>104699</w:t>
      </w:r>
      <w:r w:rsidRPr="00FE5666">
        <w:rPr>
          <w:noProof/>
          <w:szCs w:val="24"/>
          <w:lang w:val="en"/>
        </w:rPr>
        <w:t>. https://mpra.ub.uni-muenchen.de/id/eprint/104699%0Ahttps://mpra.ub.uni-muenchen.de/104699/1/MPRA_paper_104699.pdf</w:t>
      </w:r>
    </w:p>
    <w:p w14:paraId="0508D4A6" w14:textId="77777777" w:rsidR="00E712CA" w:rsidRDefault="00E712CA" w:rsidP="00E712CA">
      <w:pPr>
        <w:widowControl w:val="0"/>
        <w:autoSpaceDE w:val="0"/>
        <w:autoSpaceDN w:val="0"/>
        <w:adjustRightInd w:val="0"/>
        <w:ind w:left="480" w:hanging="480"/>
        <w:rPr>
          <w:noProof/>
          <w:szCs w:val="24"/>
        </w:rPr>
      </w:pPr>
      <w:r w:rsidRPr="0081233B">
        <w:rPr>
          <w:noProof/>
          <w:szCs w:val="24"/>
          <w:lang w:val="en"/>
        </w:rPr>
        <w:t xml:space="preserve">Sari, B. I., &amp; Wati, H. (2021). The Effect of Regional Original Income, General Allocation Fund and Regional Expenditure on the Financial Performance of Regency/City Governments in West Sumatra Province. </w:t>
      </w:r>
      <w:r w:rsidRPr="0081233B">
        <w:rPr>
          <w:i/>
          <w:iCs/>
          <w:noProof/>
          <w:szCs w:val="24"/>
          <w:lang w:val="en"/>
        </w:rPr>
        <w:t>Journal of Accounting Exploration</w:t>
      </w:r>
      <w:r w:rsidRPr="0081233B">
        <w:rPr>
          <w:noProof/>
          <w:szCs w:val="24"/>
          <w:lang w:val="en"/>
        </w:rPr>
        <w:t xml:space="preserve">, </w:t>
      </w:r>
      <w:r w:rsidRPr="0081233B">
        <w:rPr>
          <w:i/>
          <w:iCs/>
          <w:noProof/>
          <w:szCs w:val="24"/>
          <w:lang w:val="en"/>
        </w:rPr>
        <w:t>3</w:t>
      </w:r>
      <w:r w:rsidRPr="0081233B">
        <w:rPr>
          <w:noProof/>
          <w:szCs w:val="24"/>
          <w:lang w:val="en"/>
        </w:rPr>
        <w:t>(1), 1–11. https://doi.org/10.24036/jea.v3i1.356</w:t>
      </w:r>
    </w:p>
    <w:p w14:paraId="3ED2A724" w14:textId="77777777" w:rsidR="00E712CA" w:rsidRDefault="00E712CA" w:rsidP="00E712CA">
      <w:pPr>
        <w:spacing w:line="360" w:lineRule="auto"/>
        <w:jc w:val="both"/>
        <w:rPr>
          <w:szCs w:val="24"/>
        </w:rPr>
      </w:pPr>
      <w:r>
        <w:rPr>
          <w:szCs w:val="24"/>
          <w:lang w:val="en"/>
        </w:rPr>
        <w:t>Law No. 12 of 2019 concerning Regional Financial Management</w:t>
      </w:r>
    </w:p>
    <w:p w14:paraId="3262EAD1" w14:textId="77777777" w:rsidR="00E712CA" w:rsidRPr="00EA308B" w:rsidRDefault="00E712CA" w:rsidP="00E712CA">
      <w:pPr>
        <w:widowControl w:val="0"/>
        <w:autoSpaceDE w:val="0"/>
        <w:autoSpaceDN w:val="0"/>
        <w:adjustRightInd w:val="0"/>
        <w:ind w:left="480" w:hanging="480"/>
        <w:rPr>
          <w:noProof/>
        </w:rPr>
      </w:pPr>
      <w:r>
        <w:rPr>
          <w:noProof/>
          <w:szCs w:val="24"/>
          <w:lang w:val="en"/>
        </w:rPr>
        <w:t xml:space="preserve">Yuniza , M.E., Inggarwati, M.P.,et all. Government </w:t>
      </w:r>
      <w:r>
        <w:rPr>
          <w:i/>
          <w:iCs/>
          <w:noProof/>
          <w:szCs w:val="24"/>
          <w:lang w:val="en"/>
        </w:rPr>
        <w:t xml:space="preserve">Policy on Refocusing Activity and Reallocation Budget of Local Government in Pandemic and New Normal Period. </w:t>
      </w:r>
      <w:r>
        <w:rPr>
          <w:lang w:val="en"/>
        </w:rPr>
        <w:t xml:space="preserve"> </w:t>
      </w:r>
      <w:r>
        <w:rPr>
          <w:noProof/>
          <w:szCs w:val="24"/>
          <w:lang w:val="en"/>
        </w:rPr>
        <w:t>Advances in Social Science,Education and Humanities Research,volume 659</w:t>
      </w:r>
    </w:p>
    <w:p w14:paraId="17D72C7E" w14:textId="77777777" w:rsidR="00E712CA" w:rsidRPr="003B03CB" w:rsidRDefault="00E712CA" w:rsidP="00E712CA">
      <w:pPr>
        <w:widowControl w:val="0"/>
        <w:autoSpaceDE w:val="0"/>
        <w:autoSpaceDN w:val="0"/>
        <w:adjustRightInd w:val="0"/>
        <w:ind w:left="480" w:hanging="480"/>
        <w:rPr>
          <w:szCs w:val="24"/>
        </w:rPr>
      </w:pPr>
      <w:r w:rsidRPr="003B03CB">
        <w:rPr>
          <w:szCs w:val="24"/>
        </w:rPr>
        <w:fldChar w:fldCharType="end"/>
      </w:r>
      <w:r w:rsidRPr="003B03CB">
        <w:rPr>
          <w:szCs w:val="24"/>
        </w:rPr>
        <w:t xml:space="preserve"> </w:t>
      </w:r>
    </w:p>
    <w:p w14:paraId="34D2AC13" w14:textId="77777777" w:rsidR="00E712CA" w:rsidRPr="003B03CB" w:rsidRDefault="00E712CA" w:rsidP="00E712CA">
      <w:pPr>
        <w:spacing w:after="120"/>
        <w:jc w:val="both"/>
        <w:rPr>
          <w:szCs w:val="24"/>
          <w:lang w:val="id-ID"/>
        </w:rPr>
      </w:pPr>
    </w:p>
    <w:p w14:paraId="112027A0" w14:textId="77777777" w:rsidR="00E712CA" w:rsidRPr="003B03CB" w:rsidRDefault="00E712CA" w:rsidP="00E712CA">
      <w:pPr>
        <w:spacing w:after="120"/>
        <w:ind w:firstLine="360"/>
        <w:jc w:val="both"/>
        <w:rPr>
          <w:szCs w:val="24"/>
        </w:rPr>
      </w:pPr>
    </w:p>
    <w:p w14:paraId="199CECFC" w14:textId="77777777" w:rsidR="00E712CA" w:rsidRPr="003B03CB" w:rsidRDefault="00E712CA" w:rsidP="00E712CA">
      <w:pPr>
        <w:spacing w:after="120"/>
        <w:ind w:firstLine="360"/>
        <w:jc w:val="both"/>
        <w:rPr>
          <w:szCs w:val="24"/>
        </w:rPr>
      </w:pPr>
    </w:p>
    <w:p w14:paraId="343C3A71" w14:textId="77777777" w:rsidR="00E712CA" w:rsidRPr="003B03CB" w:rsidRDefault="00E712CA" w:rsidP="00E712CA">
      <w:pPr>
        <w:spacing w:after="120"/>
        <w:ind w:firstLine="360"/>
        <w:jc w:val="both"/>
        <w:rPr>
          <w:szCs w:val="24"/>
        </w:rPr>
      </w:pPr>
    </w:p>
    <w:p w14:paraId="0ECB8883" w14:textId="77777777" w:rsidR="00E712CA" w:rsidRPr="0041079F" w:rsidRDefault="00E712CA" w:rsidP="0041079F">
      <w:pPr>
        <w:spacing w:line="360" w:lineRule="auto"/>
        <w:rPr>
          <w:szCs w:val="24"/>
          <w:lang w:val="en"/>
        </w:rPr>
      </w:pPr>
    </w:p>
    <w:sectPr w:rsidR="00E712CA" w:rsidRPr="0041079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983ED" w14:textId="77777777" w:rsidR="00C25F89" w:rsidRDefault="00C25F89">
      <w:r>
        <w:rPr>
          <w:lang w:val="en"/>
        </w:rPr>
        <w:separator/>
      </w:r>
    </w:p>
  </w:endnote>
  <w:endnote w:type="continuationSeparator" w:id="0">
    <w:p w14:paraId="083B1E02" w14:textId="77777777" w:rsidR="00C25F89" w:rsidRDefault="00C25F89">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6AD4" w14:textId="680F4BAC" w:rsidR="00E47DAE" w:rsidRPr="00786076" w:rsidRDefault="00E712CA" w:rsidP="00786076">
    <w:pPr>
      <w:pStyle w:val="Footer"/>
      <w:pBdr>
        <w:top w:val="thinThickSmallGap" w:sz="24" w:space="1" w:color="622423" w:themeColor="accent2" w:themeShade="7F"/>
      </w:pBdr>
      <w:tabs>
        <w:tab w:val="clear" w:pos="8640"/>
      </w:tabs>
      <w:rPr>
        <w:rFonts w:eastAsiaTheme="majorEastAsia"/>
      </w:rPr>
    </w:pPr>
    <w:r w:rsidRPr="00786076">
      <w:rPr>
        <w:lang w:val="en"/>
      </w:rPr>
      <w:t>Journal International Research on Economics, Business and Accounting</w:t>
    </w:r>
    <w:r w:rsidRPr="00786076">
      <w:rPr>
        <w:i/>
        <w:lang w:val="en"/>
      </w:rPr>
      <w:t xml:space="preserve"> </w:t>
    </w:r>
    <w:r w:rsidRPr="00786076">
      <w:rPr>
        <w:b/>
        <w:lang w:val="en"/>
      </w:rPr>
      <w:t>(IJEBAR)</w:t>
    </w:r>
    <w:r w:rsidR="00E47DAE" w:rsidRPr="00786076">
      <w:rPr>
        <w:lang w:val="en"/>
      </w:rPr>
      <w:ptab w:relativeTo="margin" w:alignment="right" w:leader="none"/>
    </w:r>
    <w:r w:rsidR="00E47DAE" w:rsidRPr="00786076">
      <w:rPr>
        <w:lang w:val="en"/>
      </w:rPr>
      <w:t xml:space="preserve">Yard </w:t>
    </w:r>
    <w:r w:rsidR="00E47DAE" w:rsidRPr="00786076">
      <w:rPr>
        <w:lang w:val="en"/>
      </w:rPr>
      <w:fldChar w:fldCharType="begin"/>
    </w:r>
    <w:r w:rsidR="00E47DAE" w:rsidRPr="00786076">
      <w:rPr>
        <w:lang w:val="en"/>
      </w:rPr>
      <w:instrText xml:space="preserve"> PAGE   \* MERGEFORMAT </w:instrText>
    </w:r>
    <w:r w:rsidR="00E47DAE" w:rsidRPr="00786076">
      <w:rPr>
        <w:lang w:val="en"/>
      </w:rPr>
      <w:fldChar w:fldCharType="separate"/>
    </w:r>
    <w:r w:rsidR="0029475D">
      <w:rPr>
        <w:noProof/>
        <w:lang w:val="en"/>
      </w:rPr>
      <w:t>11</w:t>
    </w:r>
    <w:r w:rsidR="00E47DAE" w:rsidRPr="00786076">
      <w:rPr>
        <w:noProof/>
        <w:lang w:val="en"/>
      </w:rPr>
      <w:fldChar w:fldCharType="end"/>
    </w:r>
  </w:p>
  <w:p w14:paraId="06724ABE" w14:textId="77777777" w:rsidR="00E47DAE" w:rsidRPr="00786076" w:rsidRDefault="00E47DAE"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C6AD" w14:textId="77777777" w:rsidR="00C25F89" w:rsidRDefault="00C25F89">
      <w:r>
        <w:rPr>
          <w:lang w:val="en"/>
        </w:rPr>
        <w:separator/>
      </w:r>
    </w:p>
  </w:footnote>
  <w:footnote w:type="continuationSeparator" w:id="0">
    <w:p w14:paraId="065B6C3B" w14:textId="77777777" w:rsidR="00C25F89" w:rsidRDefault="00C25F89">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D10E" w14:textId="77777777" w:rsidR="00E712CA" w:rsidRPr="00751292" w:rsidRDefault="00E712CA" w:rsidP="00E712CA">
    <w:pPr>
      <w:tabs>
        <w:tab w:val="center" w:pos="4680"/>
        <w:tab w:val="right" w:pos="9360"/>
      </w:tabs>
      <w:rPr>
        <w:b/>
        <w:color w:val="0000FF"/>
        <w:szCs w:val="24"/>
        <w:u w:val="single"/>
        <w:lang w:val="en-IN"/>
      </w:rPr>
    </w:pPr>
    <w:r>
      <w:rPr>
        <w:b/>
        <w:szCs w:val="24"/>
        <w:lang w:val="en"/>
      </w:rPr>
      <w:t xml:space="preserve">International Journal of </w:t>
    </w:r>
    <w:proofErr w:type="spellStart"/>
    <w:r>
      <w:rPr>
        <w:b/>
        <w:szCs w:val="24"/>
        <w:lang w:val="en"/>
      </w:rPr>
      <w:t>Economics,Business</w:t>
    </w:r>
    <w:proofErr w:type="spellEnd"/>
    <w:r>
      <w:rPr>
        <w:b/>
        <w:szCs w:val="24"/>
        <w:lang w:val="en"/>
      </w:rPr>
      <w:t xml:space="preserve"> and Accounting Research (IJEBAR)</w:t>
    </w:r>
    <w:r w:rsidRPr="00751292">
      <w:rPr>
        <w:b/>
        <w:szCs w:val="24"/>
        <w:lang w:val="en"/>
      </w:rPr>
      <w:fldChar w:fldCharType="begin"/>
    </w:r>
    <w:r w:rsidRPr="00751292">
      <w:rPr>
        <w:b/>
        <w:szCs w:val="24"/>
        <w:lang w:val="en"/>
      </w:rPr>
      <w:instrText>HYPERLINK "https://www.onlinejournal.in/" \o "Imperial Journal of Interdisciplinary Research (IJIR)"</w:instrText>
    </w:r>
    <w:r w:rsidRPr="00751292">
      <w:rPr>
        <w:b/>
        <w:szCs w:val="24"/>
        <w:lang w:val="en"/>
      </w:rPr>
      <w:fldChar w:fldCharType="separate"/>
    </w:r>
    <w:r w:rsidRPr="00751292">
      <w:rPr>
        <w:b/>
        <w:color w:val="000000"/>
        <w:szCs w:val="24"/>
        <w:shd w:val="clear" w:color="auto" w:fill="FFFFFF"/>
        <w:lang w:val="en"/>
      </w:rPr>
      <w:t xml:space="preserve"> </w:t>
    </w:r>
  </w:p>
  <w:p w14:paraId="51D4CD7E" w14:textId="77777777" w:rsidR="00E712CA" w:rsidRPr="00751292" w:rsidRDefault="00E712CA" w:rsidP="00E712CA">
    <w:pPr>
      <w:tabs>
        <w:tab w:val="center" w:pos="4680"/>
        <w:tab w:val="right" w:pos="9360"/>
      </w:tabs>
      <w:rPr>
        <w:b/>
        <w:szCs w:val="24"/>
        <w:lang w:val="en-IN"/>
      </w:rPr>
    </w:pPr>
    <w:r w:rsidRPr="00751292">
      <w:rPr>
        <w:b/>
        <w:szCs w:val="24"/>
        <w:lang w:val="en"/>
      </w:rPr>
      <w:fldChar w:fldCharType="end"/>
    </w:r>
    <w:hyperlink r:id="rId1" w:tooltip="International Journal" w:history="1">
      <w:r w:rsidRPr="00751292">
        <w:rPr>
          <w:b/>
          <w:color w:val="0000FF"/>
          <w:szCs w:val="24"/>
          <w:u w:val="single"/>
          <w:lang w:val="en"/>
        </w:rPr>
        <w:t xml:space="preserve">Peer Reviewed - Journal </w:t>
      </w:r>
      <w:r w:rsidRPr="005966F3">
        <w:rPr>
          <w:b/>
          <w:color w:val="002060"/>
          <w:szCs w:val="24"/>
          <w:u w:val="single"/>
          <w:lang w:val="en"/>
        </w:rPr>
        <w:t>International</w:t>
      </w:r>
    </w:hyperlink>
  </w:p>
  <w:p w14:paraId="6BDC3895" w14:textId="77777777" w:rsidR="00E712CA" w:rsidRPr="00751292" w:rsidRDefault="00E712CA" w:rsidP="00E712CA">
    <w:pPr>
      <w:tabs>
        <w:tab w:val="center" w:pos="4680"/>
        <w:tab w:val="right" w:pos="9360"/>
      </w:tabs>
      <w:rPr>
        <w:b/>
        <w:color w:val="0000FF"/>
        <w:szCs w:val="24"/>
        <w:u w:val="single"/>
        <w:lang w:val="en-IN"/>
      </w:rPr>
    </w:pPr>
    <w:r w:rsidRPr="00751292">
      <w:rPr>
        <w:b/>
        <w:szCs w:val="24"/>
        <w:lang w:val="en"/>
      </w:rPr>
      <w:fldChar w:fldCharType="begin"/>
    </w:r>
    <w:r w:rsidRPr="00751292">
      <w:rPr>
        <w:b/>
        <w:szCs w:val="24"/>
        <w:lang w:val="en"/>
      </w:rPr>
      <w:instrText xml:space="preserve"> HYPERLINK "https://www.onlinejournal.in/v3i92017/" </w:instrText>
    </w:r>
    <w:r w:rsidRPr="00751292">
      <w:rPr>
        <w:b/>
        <w:szCs w:val="24"/>
        <w:lang w:val="en"/>
      </w:rPr>
      <w:fldChar w:fldCharType="separate"/>
    </w:r>
    <w:r w:rsidRPr="00751292">
      <w:rPr>
        <w:b/>
        <w:color w:val="0000FF"/>
        <w:szCs w:val="24"/>
        <w:u w:val="single"/>
        <w:lang w:val="en"/>
      </w:rPr>
      <w:t>Vol-</w:t>
    </w:r>
    <w:r>
      <w:rPr>
        <w:b/>
        <w:color w:val="0000FF"/>
        <w:szCs w:val="24"/>
        <w:u w:val="single"/>
        <w:lang w:val="en"/>
      </w:rPr>
      <w:t>6</w:t>
    </w:r>
    <w:r w:rsidRPr="00751292">
      <w:rPr>
        <w:b/>
        <w:color w:val="0000FF"/>
        <w:szCs w:val="24"/>
        <w:u w:val="single"/>
        <w:lang w:val="en"/>
      </w:rPr>
      <w:t>Problem-</w:t>
    </w:r>
    <w:r>
      <w:rPr>
        <w:b/>
        <w:color w:val="0000FF"/>
        <w:szCs w:val="24"/>
        <w:u w:val="single"/>
        <w:lang w:val="en"/>
      </w:rPr>
      <w:t>4</w:t>
    </w:r>
    <w:r w:rsidRPr="00751292">
      <w:rPr>
        <w:b/>
        <w:color w:val="0000FF"/>
        <w:szCs w:val="24"/>
        <w:u w:val="single"/>
        <w:lang w:val="en"/>
      </w:rPr>
      <w:t>, 20</w:t>
    </w:r>
    <w:r>
      <w:rPr>
        <w:b/>
        <w:color w:val="0000FF"/>
        <w:szCs w:val="24"/>
        <w:u w:val="single"/>
        <w:lang w:val="en"/>
      </w:rPr>
      <w:t>22</w:t>
    </w:r>
    <w:r w:rsidRPr="00751292">
      <w:rPr>
        <w:b/>
        <w:color w:val="0000FF"/>
        <w:szCs w:val="24"/>
        <w:u w:val="single"/>
        <w:lang w:val="en"/>
      </w:rPr>
      <w:t xml:space="preserve"> (IJ) </w:t>
    </w:r>
    <w:proofErr w:type="spellStart"/>
    <w:r w:rsidRPr="00751292">
      <w:rPr>
        <w:b/>
        <w:color w:val="0000FF"/>
        <w:szCs w:val="24"/>
        <w:u w:val="single"/>
        <w:lang w:val="en"/>
      </w:rPr>
      <w:t>EbaR</w:t>
    </w:r>
    <w:proofErr w:type="spellEnd"/>
    <w:r w:rsidRPr="00751292">
      <w:rPr>
        <w:b/>
        <w:color w:val="0000FF"/>
        <w:szCs w:val="24"/>
        <w:u w:val="single"/>
        <w:lang w:val="en"/>
      </w:rPr>
      <w:t>)</w:t>
    </w:r>
  </w:p>
  <w:p w14:paraId="7A7395D9" w14:textId="77777777" w:rsidR="00E712CA" w:rsidRPr="00751292" w:rsidRDefault="00E712CA" w:rsidP="00E712CA">
    <w:pPr>
      <w:tabs>
        <w:tab w:val="center" w:pos="4680"/>
        <w:tab w:val="center" w:pos="9360"/>
      </w:tabs>
      <w:rPr>
        <w:b/>
        <w:szCs w:val="24"/>
      </w:rPr>
    </w:pPr>
    <w:r w:rsidRPr="00751292">
      <w:rPr>
        <w:b/>
        <w:szCs w:val="24"/>
        <w:lang w:val="en"/>
      </w:rPr>
      <w:fldChar w:fldCharType="end"/>
    </w:r>
    <w:r w:rsidRPr="00751292">
      <w:rPr>
        <w:b/>
        <w:szCs w:val="24"/>
        <w:u w:color="000000"/>
        <w:lang w:val="en"/>
      </w:rPr>
      <w:t>E-IS</w:t>
    </w:r>
    <w:r>
      <w:rPr>
        <w:b/>
        <w:szCs w:val="24"/>
        <w:u w:color="000000"/>
        <w:lang w:val="en"/>
      </w:rPr>
      <w:t>S</w:t>
    </w:r>
    <w:r w:rsidRPr="00751292">
      <w:rPr>
        <w:b/>
        <w:szCs w:val="24"/>
        <w:u w:color="000000"/>
        <w:lang w:val="en"/>
      </w:rPr>
      <w:t xml:space="preserve">N: </w:t>
    </w:r>
    <w:r w:rsidRPr="00751292">
      <w:rPr>
        <w:b/>
        <w:color w:val="000000"/>
        <w:szCs w:val="24"/>
        <w:shd w:val="clear" w:color="auto" w:fill="FFFFFF"/>
        <w:lang w:val="en"/>
      </w:rPr>
      <w:t xml:space="preserve">2614-1280 P-ISSN </w:t>
    </w:r>
    <w:r w:rsidRPr="00751292">
      <w:rPr>
        <w:b/>
        <w:szCs w:val="24"/>
        <w:lang w:val="en"/>
      </w:rPr>
      <w:t>2622-4771</w:t>
    </w:r>
  </w:p>
  <w:p w14:paraId="36F20D42" w14:textId="39A5581A" w:rsidR="00E712CA" w:rsidRPr="00E712CA" w:rsidRDefault="00E712CA">
    <w:pPr>
      <w:pStyle w:val="Header"/>
      <w:rPr>
        <w:szCs w:val="24"/>
      </w:rPr>
    </w:pPr>
    <w:hyperlink r:id="rId2" w:history="1">
      <w:r w:rsidRPr="0026733C">
        <w:rPr>
          <w:rStyle w:val="Hyperlink"/>
          <w:szCs w:val="24"/>
          <w:lang w:val="en"/>
        </w:rPr>
        <w:t>https://jurnal.stie-aas.ac.id/index.php/IJEBAR</w:t>
      </w:r>
    </w:hyperlink>
    <w:r w:rsidRPr="0026733C">
      <w:rPr>
        <w:szCs w:val="24"/>
        <w:lang w:val="e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B74964"/>
    <w:multiLevelType w:val="hybridMultilevel"/>
    <w:tmpl w:val="66149A4A"/>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C5645"/>
    <w:multiLevelType w:val="hybridMultilevel"/>
    <w:tmpl w:val="00EA745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D0E1D6A"/>
    <w:multiLevelType w:val="hybridMultilevel"/>
    <w:tmpl w:val="C70E0A32"/>
    <w:lvl w:ilvl="0" w:tplc="1152C2B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E21754D"/>
    <w:multiLevelType w:val="hybridMultilevel"/>
    <w:tmpl w:val="4FE44E6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33115288"/>
    <w:multiLevelType w:val="hybridMultilevel"/>
    <w:tmpl w:val="FDA4035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350E0DB2"/>
    <w:multiLevelType w:val="hybridMultilevel"/>
    <w:tmpl w:val="DCD2E10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57E0497"/>
    <w:multiLevelType w:val="hybridMultilevel"/>
    <w:tmpl w:val="939AEDA8"/>
    <w:lvl w:ilvl="0" w:tplc="988A8A0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24C5909"/>
    <w:multiLevelType w:val="hybridMultilevel"/>
    <w:tmpl w:val="1F2641B8"/>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3"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7D992416"/>
    <w:multiLevelType w:val="hybridMultilevel"/>
    <w:tmpl w:val="38FECB12"/>
    <w:lvl w:ilvl="0" w:tplc="1F14AC0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7FF8277D"/>
    <w:multiLevelType w:val="hybridMultilevel"/>
    <w:tmpl w:val="DE5C127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14778377">
    <w:abstractNumId w:val="0"/>
  </w:num>
  <w:num w:numId="2" w16cid:durableId="1851555111">
    <w:abstractNumId w:val="9"/>
  </w:num>
  <w:num w:numId="3" w16cid:durableId="958340725">
    <w:abstractNumId w:val="1"/>
  </w:num>
  <w:num w:numId="4" w16cid:durableId="2040083396">
    <w:abstractNumId w:val="3"/>
  </w:num>
  <w:num w:numId="5" w16cid:durableId="13908782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761390">
    <w:abstractNumId w:val="13"/>
  </w:num>
  <w:num w:numId="7" w16cid:durableId="693918069">
    <w:abstractNumId w:val="10"/>
  </w:num>
  <w:num w:numId="8" w16cid:durableId="433012325">
    <w:abstractNumId w:val="11"/>
  </w:num>
  <w:num w:numId="9" w16cid:durableId="339282547">
    <w:abstractNumId w:val="4"/>
  </w:num>
  <w:num w:numId="10" w16cid:durableId="453252490">
    <w:abstractNumId w:val="14"/>
  </w:num>
  <w:num w:numId="11" w16cid:durableId="485783270">
    <w:abstractNumId w:val="8"/>
  </w:num>
  <w:num w:numId="12" w16cid:durableId="1180851499">
    <w:abstractNumId w:val="2"/>
  </w:num>
  <w:num w:numId="13" w16cid:durableId="2056153901">
    <w:abstractNumId w:val="15"/>
  </w:num>
  <w:num w:numId="14" w16cid:durableId="1719696661">
    <w:abstractNumId w:val="12"/>
  </w:num>
  <w:num w:numId="15" w16cid:durableId="21982801">
    <w:abstractNumId w:val="6"/>
  </w:num>
  <w:num w:numId="16" w16cid:durableId="1867862456">
    <w:abstractNumId w:val="7"/>
  </w:num>
  <w:num w:numId="17" w16cid:durableId="91705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172"/>
    <w:rsid w:val="00007085"/>
    <w:rsid w:val="00010C81"/>
    <w:rsid w:val="000130A8"/>
    <w:rsid w:val="00017B9C"/>
    <w:rsid w:val="00017BCC"/>
    <w:rsid w:val="00020CCF"/>
    <w:rsid w:val="00020F75"/>
    <w:rsid w:val="000210ED"/>
    <w:rsid w:val="00032073"/>
    <w:rsid w:val="00037F6D"/>
    <w:rsid w:val="0004344A"/>
    <w:rsid w:val="000461C6"/>
    <w:rsid w:val="00046906"/>
    <w:rsid w:val="00055CD1"/>
    <w:rsid w:val="00056AB7"/>
    <w:rsid w:val="0005707A"/>
    <w:rsid w:val="000705ED"/>
    <w:rsid w:val="000A47C7"/>
    <w:rsid w:val="000C707D"/>
    <w:rsid w:val="000D5E2D"/>
    <w:rsid w:val="000D71C8"/>
    <w:rsid w:val="000E60AC"/>
    <w:rsid w:val="0010564D"/>
    <w:rsid w:val="0011472C"/>
    <w:rsid w:val="00114C22"/>
    <w:rsid w:val="00115369"/>
    <w:rsid w:val="00115AC5"/>
    <w:rsid w:val="0012568B"/>
    <w:rsid w:val="00125B85"/>
    <w:rsid w:val="0013462D"/>
    <w:rsid w:val="00136193"/>
    <w:rsid w:val="001405C3"/>
    <w:rsid w:val="001419FC"/>
    <w:rsid w:val="00152F89"/>
    <w:rsid w:val="00162F46"/>
    <w:rsid w:val="00177577"/>
    <w:rsid w:val="0019006B"/>
    <w:rsid w:val="00197FA3"/>
    <w:rsid w:val="001A023F"/>
    <w:rsid w:val="001A3339"/>
    <w:rsid w:val="001A6839"/>
    <w:rsid w:val="001B277F"/>
    <w:rsid w:val="001C213C"/>
    <w:rsid w:val="001C4E60"/>
    <w:rsid w:val="001D0642"/>
    <w:rsid w:val="001E0732"/>
    <w:rsid w:val="001F5CF9"/>
    <w:rsid w:val="002006E1"/>
    <w:rsid w:val="00201B74"/>
    <w:rsid w:val="0020379F"/>
    <w:rsid w:val="00203B5F"/>
    <w:rsid w:val="0021008A"/>
    <w:rsid w:val="00213767"/>
    <w:rsid w:val="00214280"/>
    <w:rsid w:val="00220AAF"/>
    <w:rsid w:val="002241B8"/>
    <w:rsid w:val="002243B5"/>
    <w:rsid w:val="002318A5"/>
    <w:rsid w:val="0023341C"/>
    <w:rsid w:val="00234057"/>
    <w:rsid w:val="00240055"/>
    <w:rsid w:val="00254B59"/>
    <w:rsid w:val="0026234A"/>
    <w:rsid w:val="00265E76"/>
    <w:rsid w:val="00266363"/>
    <w:rsid w:val="00266376"/>
    <w:rsid w:val="00266CB0"/>
    <w:rsid w:val="00281E89"/>
    <w:rsid w:val="00287BD1"/>
    <w:rsid w:val="0029100F"/>
    <w:rsid w:val="002910FB"/>
    <w:rsid w:val="0029475D"/>
    <w:rsid w:val="002A4BE1"/>
    <w:rsid w:val="002B0B0D"/>
    <w:rsid w:val="002B6348"/>
    <w:rsid w:val="002C0DB8"/>
    <w:rsid w:val="002F1A0B"/>
    <w:rsid w:val="002F432B"/>
    <w:rsid w:val="00307AC7"/>
    <w:rsid w:val="00314ADC"/>
    <w:rsid w:val="003174D0"/>
    <w:rsid w:val="003201AF"/>
    <w:rsid w:val="00324AFE"/>
    <w:rsid w:val="003343B3"/>
    <w:rsid w:val="00335D3A"/>
    <w:rsid w:val="00336B34"/>
    <w:rsid w:val="00344712"/>
    <w:rsid w:val="003451AD"/>
    <w:rsid w:val="00357043"/>
    <w:rsid w:val="00361C2A"/>
    <w:rsid w:val="0036395D"/>
    <w:rsid w:val="00366598"/>
    <w:rsid w:val="00371132"/>
    <w:rsid w:val="00371BB5"/>
    <w:rsid w:val="00373C92"/>
    <w:rsid w:val="00380B6B"/>
    <w:rsid w:val="00387E22"/>
    <w:rsid w:val="00393C29"/>
    <w:rsid w:val="0039421C"/>
    <w:rsid w:val="003B03CB"/>
    <w:rsid w:val="003B1BFA"/>
    <w:rsid w:val="003C232F"/>
    <w:rsid w:val="003C37FC"/>
    <w:rsid w:val="003C5444"/>
    <w:rsid w:val="003C6C45"/>
    <w:rsid w:val="003D1991"/>
    <w:rsid w:val="003D7BF4"/>
    <w:rsid w:val="003E78FD"/>
    <w:rsid w:val="004013F0"/>
    <w:rsid w:val="00405EE4"/>
    <w:rsid w:val="0041079F"/>
    <w:rsid w:val="004319AF"/>
    <w:rsid w:val="00431C09"/>
    <w:rsid w:val="00444D12"/>
    <w:rsid w:val="00446EFF"/>
    <w:rsid w:val="00450FB7"/>
    <w:rsid w:val="00454F45"/>
    <w:rsid w:val="0045557B"/>
    <w:rsid w:val="00460D67"/>
    <w:rsid w:val="00466E7A"/>
    <w:rsid w:val="00467D33"/>
    <w:rsid w:val="00474A06"/>
    <w:rsid w:val="0047647C"/>
    <w:rsid w:val="00482F53"/>
    <w:rsid w:val="00486F2C"/>
    <w:rsid w:val="00493624"/>
    <w:rsid w:val="004A1AD4"/>
    <w:rsid w:val="004A6B49"/>
    <w:rsid w:val="004B7814"/>
    <w:rsid w:val="004C3A3D"/>
    <w:rsid w:val="004C4E8E"/>
    <w:rsid w:val="004C5327"/>
    <w:rsid w:val="004D08E3"/>
    <w:rsid w:val="00503180"/>
    <w:rsid w:val="0050399F"/>
    <w:rsid w:val="00504636"/>
    <w:rsid w:val="00507FDD"/>
    <w:rsid w:val="005128B4"/>
    <w:rsid w:val="00541D2A"/>
    <w:rsid w:val="005514B3"/>
    <w:rsid w:val="00557A48"/>
    <w:rsid w:val="00561347"/>
    <w:rsid w:val="00575733"/>
    <w:rsid w:val="00580208"/>
    <w:rsid w:val="00585456"/>
    <w:rsid w:val="005966F3"/>
    <w:rsid w:val="005A60F9"/>
    <w:rsid w:val="005B41C0"/>
    <w:rsid w:val="005B56DF"/>
    <w:rsid w:val="005B65BD"/>
    <w:rsid w:val="005C508F"/>
    <w:rsid w:val="005E0159"/>
    <w:rsid w:val="005F0234"/>
    <w:rsid w:val="005F711C"/>
    <w:rsid w:val="006048B8"/>
    <w:rsid w:val="00612CF4"/>
    <w:rsid w:val="0061672D"/>
    <w:rsid w:val="00620508"/>
    <w:rsid w:val="00633A86"/>
    <w:rsid w:val="0063407D"/>
    <w:rsid w:val="006431F1"/>
    <w:rsid w:val="006446AE"/>
    <w:rsid w:val="006459CF"/>
    <w:rsid w:val="0065308C"/>
    <w:rsid w:val="006570BA"/>
    <w:rsid w:val="00660115"/>
    <w:rsid w:val="0066064D"/>
    <w:rsid w:val="00660694"/>
    <w:rsid w:val="006636B1"/>
    <w:rsid w:val="00670614"/>
    <w:rsid w:val="00672202"/>
    <w:rsid w:val="00676C3C"/>
    <w:rsid w:val="0069505E"/>
    <w:rsid w:val="006A1F40"/>
    <w:rsid w:val="006A2964"/>
    <w:rsid w:val="006A74B6"/>
    <w:rsid w:val="006B1D2D"/>
    <w:rsid w:val="006C27C9"/>
    <w:rsid w:val="006D0E80"/>
    <w:rsid w:val="006D6727"/>
    <w:rsid w:val="006E3DA7"/>
    <w:rsid w:val="006E5BDA"/>
    <w:rsid w:val="006F0CEF"/>
    <w:rsid w:val="006F2A00"/>
    <w:rsid w:val="006F51A6"/>
    <w:rsid w:val="00710F89"/>
    <w:rsid w:val="00711C4D"/>
    <w:rsid w:val="00713F5B"/>
    <w:rsid w:val="007175C5"/>
    <w:rsid w:val="0073251A"/>
    <w:rsid w:val="007349A7"/>
    <w:rsid w:val="00740F8E"/>
    <w:rsid w:val="007432C2"/>
    <w:rsid w:val="0075138A"/>
    <w:rsid w:val="00761284"/>
    <w:rsid w:val="007632ED"/>
    <w:rsid w:val="007803BF"/>
    <w:rsid w:val="00783972"/>
    <w:rsid w:val="00785D33"/>
    <w:rsid w:val="00786076"/>
    <w:rsid w:val="00795D83"/>
    <w:rsid w:val="00797D97"/>
    <w:rsid w:val="007A0CBD"/>
    <w:rsid w:val="007B3E9B"/>
    <w:rsid w:val="007C55CC"/>
    <w:rsid w:val="007D1129"/>
    <w:rsid w:val="007F1E28"/>
    <w:rsid w:val="007F2E21"/>
    <w:rsid w:val="007F3CF3"/>
    <w:rsid w:val="007F5FE3"/>
    <w:rsid w:val="0080184F"/>
    <w:rsid w:val="00806F29"/>
    <w:rsid w:val="0081118C"/>
    <w:rsid w:val="00811B93"/>
    <w:rsid w:val="0081233B"/>
    <w:rsid w:val="008355C7"/>
    <w:rsid w:val="008413B0"/>
    <w:rsid w:val="008451DC"/>
    <w:rsid w:val="0084586B"/>
    <w:rsid w:val="00847854"/>
    <w:rsid w:val="00851227"/>
    <w:rsid w:val="008563A3"/>
    <w:rsid w:val="008672F1"/>
    <w:rsid w:val="0086761F"/>
    <w:rsid w:val="00871EF1"/>
    <w:rsid w:val="0087224A"/>
    <w:rsid w:val="00876F86"/>
    <w:rsid w:val="008860A9"/>
    <w:rsid w:val="008964A4"/>
    <w:rsid w:val="00897FC8"/>
    <w:rsid w:val="008A3438"/>
    <w:rsid w:val="008A398D"/>
    <w:rsid w:val="008B158D"/>
    <w:rsid w:val="008B6850"/>
    <w:rsid w:val="008D7C43"/>
    <w:rsid w:val="008F4979"/>
    <w:rsid w:val="008F4C6E"/>
    <w:rsid w:val="0092153F"/>
    <w:rsid w:val="009243FC"/>
    <w:rsid w:val="00927177"/>
    <w:rsid w:val="009316D9"/>
    <w:rsid w:val="00932124"/>
    <w:rsid w:val="009331BC"/>
    <w:rsid w:val="00935F79"/>
    <w:rsid w:val="00940F3E"/>
    <w:rsid w:val="00941A0F"/>
    <w:rsid w:val="009430D5"/>
    <w:rsid w:val="00950197"/>
    <w:rsid w:val="009502F4"/>
    <w:rsid w:val="00951C84"/>
    <w:rsid w:val="0095439E"/>
    <w:rsid w:val="00956076"/>
    <w:rsid w:val="00956A3A"/>
    <w:rsid w:val="00975F01"/>
    <w:rsid w:val="00976CA9"/>
    <w:rsid w:val="009774FB"/>
    <w:rsid w:val="0099047D"/>
    <w:rsid w:val="009913F0"/>
    <w:rsid w:val="00992B6D"/>
    <w:rsid w:val="009940EF"/>
    <w:rsid w:val="00994E0B"/>
    <w:rsid w:val="00995AF3"/>
    <w:rsid w:val="009A5922"/>
    <w:rsid w:val="009C1B1E"/>
    <w:rsid w:val="009C23F0"/>
    <w:rsid w:val="009C344E"/>
    <w:rsid w:val="009C6A4A"/>
    <w:rsid w:val="009D4BCF"/>
    <w:rsid w:val="009D4C59"/>
    <w:rsid w:val="009E0227"/>
    <w:rsid w:val="009E46DC"/>
    <w:rsid w:val="009E6F26"/>
    <w:rsid w:val="009F3609"/>
    <w:rsid w:val="009F7574"/>
    <w:rsid w:val="00A03ECE"/>
    <w:rsid w:val="00A06AAD"/>
    <w:rsid w:val="00A15375"/>
    <w:rsid w:val="00A22877"/>
    <w:rsid w:val="00A31FB9"/>
    <w:rsid w:val="00A36D71"/>
    <w:rsid w:val="00A40556"/>
    <w:rsid w:val="00A4708D"/>
    <w:rsid w:val="00A56E67"/>
    <w:rsid w:val="00A63178"/>
    <w:rsid w:val="00A67DC1"/>
    <w:rsid w:val="00A70563"/>
    <w:rsid w:val="00A70EF6"/>
    <w:rsid w:val="00A72B34"/>
    <w:rsid w:val="00A733EC"/>
    <w:rsid w:val="00A9172A"/>
    <w:rsid w:val="00AD6B26"/>
    <w:rsid w:val="00AE435A"/>
    <w:rsid w:val="00AF482D"/>
    <w:rsid w:val="00AF69B0"/>
    <w:rsid w:val="00B059F1"/>
    <w:rsid w:val="00B178C0"/>
    <w:rsid w:val="00B25F74"/>
    <w:rsid w:val="00B35D8C"/>
    <w:rsid w:val="00B42C30"/>
    <w:rsid w:val="00B43F77"/>
    <w:rsid w:val="00B62AAE"/>
    <w:rsid w:val="00B664E8"/>
    <w:rsid w:val="00B73178"/>
    <w:rsid w:val="00B75757"/>
    <w:rsid w:val="00B93D34"/>
    <w:rsid w:val="00B95461"/>
    <w:rsid w:val="00BC09F7"/>
    <w:rsid w:val="00BC4005"/>
    <w:rsid w:val="00BC444E"/>
    <w:rsid w:val="00BC6244"/>
    <w:rsid w:val="00BC782F"/>
    <w:rsid w:val="00BD4300"/>
    <w:rsid w:val="00BE4C81"/>
    <w:rsid w:val="00BE4F4D"/>
    <w:rsid w:val="00BE5E04"/>
    <w:rsid w:val="00BE7B73"/>
    <w:rsid w:val="00BF01EB"/>
    <w:rsid w:val="00BF245E"/>
    <w:rsid w:val="00BF66A8"/>
    <w:rsid w:val="00C16B9B"/>
    <w:rsid w:val="00C25F89"/>
    <w:rsid w:val="00C26F40"/>
    <w:rsid w:val="00C32EAA"/>
    <w:rsid w:val="00C35CDC"/>
    <w:rsid w:val="00C37FAB"/>
    <w:rsid w:val="00C45F10"/>
    <w:rsid w:val="00C50168"/>
    <w:rsid w:val="00C50EAE"/>
    <w:rsid w:val="00C6012C"/>
    <w:rsid w:val="00C653E1"/>
    <w:rsid w:val="00C9066B"/>
    <w:rsid w:val="00C95929"/>
    <w:rsid w:val="00CA1DB1"/>
    <w:rsid w:val="00CA633C"/>
    <w:rsid w:val="00CB03FB"/>
    <w:rsid w:val="00CD4D59"/>
    <w:rsid w:val="00CF1AAB"/>
    <w:rsid w:val="00D03CEE"/>
    <w:rsid w:val="00D14A4D"/>
    <w:rsid w:val="00D20237"/>
    <w:rsid w:val="00D34685"/>
    <w:rsid w:val="00D500E1"/>
    <w:rsid w:val="00D63C4E"/>
    <w:rsid w:val="00D64D7E"/>
    <w:rsid w:val="00D6509B"/>
    <w:rsid w:val="00D73172"/>
    <w:rsid w:val="00D7537B"/>
    <w:rsid w:val="00D7593C"/>
    <w:rsid w:val="00DA0D40"/>
    <w:rsid w:val="00DA210E"/>
    <w:rsid w:val="00DA4E41"/>
    <w:rsid w:val="00DB5735"/>
    <w:rsid w:val="00DC0613"/>
    <w:rsid w:val="00DC59E9"/>
    <w:rsid w:val="00DD1584"/>
    <w:rsid w:val="00DD33BD"/>
    <w:rsid w:val="00DD48A1"/>
    <w:rsid w:val="00DE10E1"/>
    <w:rsid w:val="00DE4AF3"/>
    <w:rsid w:val="00E0069E"/>
    <w:rsid w:val="00E033A1"/>
    <w:rsid w:val="00E07FAB"/>
    <w:rsid w:val="00E1198F"/>
    <w:rsid w:val="00E22616"/>
    <w:rsid w:val="00E226DA"/>
    <w:rsid w:val="00E35127"/>
    <w:rsid w:val="00E438F4"/>
    <w:rsid w:val="00E45CCE"/>
    <w:rsid w:val="00E47DAE"/>
    <w:rsid w:val="00E501F4"/>
    <w:rsid w:val="00E712CA"/>
    <w:rsid w:val="00E759BE"/>
    <w:rsid w:val="00E75F6E"/>
    <w:rsid w:val="00E8068B"/>
    <w:rsid w:val="00E86010"/>
    <w:rsid w:val="00E914D3"/>
    <w:rsid w:val="00E9369E"/>
    <w:rsid w:val="00E937F6"/>
    <w:rsid w:val="00EA11C6"/>
    <w:rsid w:val="00EA308B"/>
    <w:rsid w:val="00EA789F"/>
    <w:rsid w:val="00EA7ABB"/>
    <w:rsid w:val="00EB06C7"/>
    <w:rsid w:val="00EB23CD"/>
    <w:rsid w:val="00EB4EF4"/>
    <w:rsid w:val="00EC11A1"/>
    <w:rsid w:val="00EC1803"/>
    <w:rsid w:val="00ED1E15"/>
    <w:rsid w:val="00ED48BC"/>
    <w:rsid w:val="00ED5472"/>
    <w:rsid w:val="00EE2395"/>
    <w:rsid w:val="00EE4511"/>
    <w:rsid w:val="00F007C5"/>
    <w:rsid w:val="00F0081E"/>
    <w:rsid w:val="00F01E62"/>
    <w:rsid w:val="00F02475"/>
    <w:rsid w:val="00F22146"/>
    <w:rsid w:val="00F41C66"/>
    <w:rsid w:val="00F41D6B"/>
    <w:rsid w:val="00F42A2F"/>
    <w:rsid w:val="00F4376F"/>
    <w:rsid w:val="00F51B6E"/>
    <w:rsid w:val="00F54EC7"/>
    <w:rsid w:val="00F55636"/>
    <w:rsid w:val="00F7073A"/>
    <w:rsid w:val="00F822F6"/>
    <w:rsid w:val="00F83558"/>
    <w:rsid w:val="00FA4F7A"/>
    <w:rsid w:val="00FB33E1"/>
    <w:rsid w:val="00FD7509"/>
    <w:rsid w:val="00FE0173"/>
    <w:rsid w:val="00FE3AD6"/>
    <w:rsid w:val="00FE5666"/>
    <w:rsid w:val="00FF18B2"/>
    <w:rsid w:val="00FF1FA8"/>
    <w:rsid w:val="00FF331F"/>
    <w:rsid w:val="00FF3D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8262A"/>
  <w15:docId w15:val="{D78614E6-9AD3-4C58-9DCE-F0D9B0E9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unhideWhenUsed/>
    <w:rsid w:val="00D73172"/>
    <w:pPr>
      <w:spacing w:after="120"/>
    </w:pPr>
  </w:style>
  <w:style w:type="character" w:customStyle="1" w:styleId="BodyTextChar">
    <w:name w:val="Body Text Char"/>
    <w:basedOn w:val="DefaultParagraphFont"/>
    <w:link w:val="BodyText"/>
    <w:uiPriority w:val="99"/>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PlaceholderText">
    <w:name w:val="Placeholder Text"/>
    <w:basedOn w:val="DefaultParagraphFont"/>
    <w:uiPriority w:val="99"/>
    <w:semiHidden/>
    <w:rsid w:val="005966F3"/>
    <w:rPr>
      <w:color w:val="808080"/>
    </w:rPr>
  </w:style>
  <w:style w:type="character" w:customStyle="1" w:styleId="UnresolvedMention1">
    <w:name w:val="Unresolved Mention1"/>
    <w:basedOn w:val="DefaultParagraphFont"/>
    <w:uiPriority w:val="99"/>
    <w:semiHidden/>
    <w:unhideWhenUsed/>
    <w:rsid w:val="005966F3"/>
    <w:rPr>
      <w:color w:val="605E5C"/>
      <w:shd w:val="clear" w:color="auto" w:fill="E1DFDD"/>
    </w:rPr>
  </w:style>
  <w:style w:type="character" w:customStyle="1" w:styleId="ts-alignment-element">
    <w:name w:val="ts-alignment-element"/>
    <w:basedOn w:val="DefaultParagraphFont"/>
    <w:rsid w:val="005F711C"/>
  </w:style>
  <w:style w:type="table" w:styleId="PlainTable2">
    <w:name w:val="Plain Table 2"/>
    <w:basedOn w:val="TableNormal"/>
    <w:uiPriority w:val="42"/>
    <w:rsid w:val="009E6F26"/>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366598"/>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66598"/>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66598"/>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785D3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8451DC"/>
    <w:pPr>
      <w:widowControl w:val="0"/>
      <w:autoSpaceDE w:val="0"/>
      <w:autoSpaceDN w:val="0"/>
      <w:spacing w:before="111"/>
    </w:pPr>
    <w:rPr>
      <w:rFonts w:ascii="Arial MT" w:eastAsia="Arial MT" w:hAnsi="Arial MT" w:cs="Arial MT"/>
      <w:sz w:val="22"/>
      <w:szCs w:val="22"/>
      <w:lang w:val="id"/>
    </w:rPr>
  </w:style>
  <w:style w:type="paragraph" w:styleId="NormalWeb">
    <w:name w:val="Normal (Web)"/>
    <w:basedOn w:val="Normal"/>
    <w:uiPriority w:val="99"/>
    <w:semiHidden/>
    <w:unhideWhenUsed/>
    <w:rsid w:val="00393C29"/>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21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508247275">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ymeliawati46@gmail.com" TargetMode="External"/><Relationship Id="rId13" Type="http://schemas.openxmlformats.org/officeDocument/2006/relationships/footer" Target="footer1.xml"/><Relationship Id="rId18" Type="http://schemas.openxmlformats.org/officeDocument/2006/relationships/hyperlink" Target="https://doi.org/10.1108/JPBAFM-07-2020-00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tamabima@gmail.com"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ekoh0361@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vdirgantari@ymail.com"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866E0-F568-4B4C-9858-8DEBACEC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14</Pages>
  <Words>6740</Words>
  <Characters>38421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dc:description/>
  <cp:lastModifiedBy>Desy Meliawati</cp:lastModifiedBy>
  <cp:revision>28</cp:revision>
  <cp:lastPrinted>2017-09-12T03:58:00Z</cp:lastPrinted>
  <dcterms:created xsi:type="dcterms:W3CDTF">2022-11-02T15:16:00Z</dcterms:created>
  <dcterms:modified xsi:type="dcterms:W3CDTF">2022-11-04T13:59:00Z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b9bcad49-6f07-3e92-a5d1-3abcab5b3c8b</vt:lpwstr>
  </property>
  <property fmtid="{D5CDD505-2E9C-101B-9397-08002B2CF9AE}" pid="24" name="Mendeley Citation Style_1">
    <vt:lpwstr>http://www.zotero.org/styles/apa</vt:lpwstr>
  </property>
</Properties>
</file>