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A36" w:rsidRPr="00E564F8" w:rsidRDefault="002C7A36" w:rsidP="002C7A36">
      <w:pPr>
        <w:ind w:firstLine="0"/>
        <w:jc w:val="both"/>
        <w:rPr>
          <w:rFonts w:ascii="Times New Roman" w:hAnsi="Times New Roman" w:cs="Times New Roman"/>
          <w:b/>
          <w:bCs/>
        </w:rPr>
      </w:pPr>
      <w:r w:rsidRPr="00E564F8">
        <w:rPr>
          <w:rFonts w:ascii="Times New Roman" w:hAnsi="Times New Roman" w:cs="Times New Roman"/>
          <w:b/>
          <w:bCs/>
        </w:rPr>
        <w:t xml:space="preserve">6. TABEL </w:t>
      </w:r>
    </w:p>
    <w:p w:rsidR="002C7A36" w:rsidRPr="00E564F8" w:rsidRDefault="002C7A36" w:rsidP="002C7A36">
      <w:pPr>
        <w:ind w:firstLine="0"/>
        <w:jc w:val="both"/>
        <w:rPr>
          <w:rFonts w:ascii="Times New Roman" w:hAnsi="Times New Roman" w:cs="Times New Roman"/>
        </w:rPr>
      </w:pPr>
    </w:p>
    <w:p w:rsidR="002C7A36" w:rsidRPr="00E564F8" w:rsidRDefault="002C7A36" w:rsidP="002C7A36">
      <w:pPr>
        <w:ind w:firstLine="0"/>
        <w:rPr>
          <w:rFonts w:ascii="Times New Roman" w:hAnsi="Times New Roman" w:cs="Times New Roman"/>
          <w:b/>
          <w:bCs/>
        </w:rPr>
      </w:pPr>
      <w:r w:rsidRPr="00E564F8">
        <w:rPr>
          <w:rFonts w:ascii="Times New Roman" w:hAnsi="Times New Roman" w:cs="Times New Roman"/>
          <w:b/>
          <w:bCs/>
        </w:rPr>
        <w:t>Tabel 1. Islamic Sosial Responsibility (ISR) Index</w:t>
      </w:r>
    </w:p>
    <w:p w:rsidR="002C7A36" w:rsidRPr="00E564F8" w:rsidRDefault="002C7A36" w:rsidP="002C7A36">
      <w:pPr>
        <w:ind w:firstLine="0"/>
        <w:jc w:val="both"/>
        <w:rPr>
          <w:rFonts w:ascii="Times New Roman" w:hAnsi="Times New Roman" w:cs="Times New Roman"/>
        </w:rPr>
      </w:pPr>
    </w:p>
    <w:tbl>
      <w:tblPr>
        <w:tblStyle w:val="TableGrid"/>
        <w:tblW w:w="0" w:type="auto"/>
        <w:tblInd w:w="108" w:type="dxa"/>
        <w:tblLayout w:type="fixed"/>
        <w:tblLook w:val="04A0"/>
      </w:tblPr>
      <w:tblGrid>
        <w:gridCol w:w="567"/>
        <w:gridCol w:w="1985"/>
        <w:gridCol w:w="6627"/>
      </w:tblGrid>
      <w:tr w:rsidR="002C7A36" w:rsidRPr="00E564F8" w:rsidTr="00CF0CD7">
        <w:tc>
          <w:tcPr>
            <w:tcW w:w="567" w:type="dxa"/>
            <w:shd w:val="clear" w:color="auto" w:fill="D9D9D9" w:themeFill="background1" w:themeFillShade="D9"/>
          </w:tcPr>
          <w:p w:rsidR="002C7A36" w:rsidRPr="00E564F8" w:rsidRDefault="002C7A36" w:rsidP="00CF0CD7">
            <w:pPr>
              <w:ind w:firstLine="0"/>
              <w:jc w:val="center"/>
              <w:rPr>
                <w:rFonts w:ascii="Times New Roman" w:hAnsi="Times New Roman" w:cs="Times New Roman"/>
                <w:b/>
                <w:bCs/>
              </w:rPr>
            </w:pPr>
            <w:r w:rsidRPr="00E564F8">
              <w:rPr>
                <w:rFonts w:ascii="Times New Roman" w:hAnsi="Times New Roman" w:cs="Times New Roman"/>
                <w:b/>
                <w:bCs/>
              </w:rPr>
              <w:t>NO</w:t>
            </w:r>
          </w:p>
        </w:tc>
        <w:tc>
          <w:tcPr>
            <w:tcW w:w="1985" w:type="dxa"/>
            <w:shd w:val="clear" w:color="auto" w:fill="D9D9D9" w:themeFill="background1" w:themeFillShade="D9"/>
          </w:tcPr>
          <w:p w:rsidR="002C7A36" w:rsidRPr="00E564F8" w:rsidRDefault="002C7A36" w:rsidP="00CF0CD7">
            <w:pPr>
              <w:ind w:firstLine="0"/>
              <w:jc w:val="center"/>
              <w:rPr>
                <w:rFonts w:ascii="Times New Roman" w:hAnsi="Times New Roman" w:cs="Times New Roman"/>
                <w:b/>
                <w:bCs/>
              </w:rPr>
            </w:pPr>
            <w:r w:rsidRPr="00E564F8">
              <w:rPr>
                <w:rFonts w:ascii="Times New Roman" w:hAnsi="Times New Roman" w:cs="Times New Roman"/>
                <w:b/>
                <w:bCs/>
              </w:rPr>
              <w:t>DIMENSI/TEMA</w:t>
            </w:r>
          </w:p>
        </w:tc>
        <w:tc>
          <w:tcPr>
            <w:tcW w:w="6627" w:type="dxa"/>
            <w:shd w:val="clear" w:color="auto" w:fill="D9D9D9" w:themeFill="background1" w:themeFillShade="D9"/>
          </w:tcPr>
          <w:p w:rsidR="002C7A36" w:rsidRPr="00E564F8" w:rsidRDefault="002C7A36" w:rsidP="00CF0CD7">
            <w:pPr>
              <w:ind w:firstLine="0"/>
              <w:jc w:val="center"/>
              <w:rPr>
                <w:rFonts w:ascii="Times New Roman" w:hAnsi="Times New Roman" w:cs="Times New Roman"/>
                <w:b/>
                <w:bCs/>
              </w:rPr>
            </w:pPr>
            <w:r w:rsidRPr="00E564F8">
              <w:rPr>
                <w:rFonts w:ascii="Times New Roman" w:hAnsi="Times New Roman" w:cs="Times New Roman"/>
                <w:b/>
                <w:bCs/>
              </w:rPr>
              <w:t>INDIKATOR/SUBTEMA</w:t>
            </w:r>
          </w:p>
        </w:tc>
      </w:tr>
      <w:tr w:rsidR="002C7A36" w:rsidRPr="00E564F8" w:rsidTr="00CF0CD7">
        <w:tc>
          <w:tcPr>
            <w:tcW w:w="567" w:type="dxa"/>
          </w:tcPr>
          <w:p w:rsidR="002C7A36" w:rsidRPr="00E564F8" w:rsidRDefault="002C7A36" w:rsidP="00CF0CD7">
            <w:pPr>
              <w:ind w:firstLine="0"/>
              <w:jc w:val="center"/>
              <w:rPr>
                <w:rFonts w:ascii="Times New Roman" w:hAnsi="Times New Roman" w:cs="Times New Roman"/>
              </w:rPr>
            </w:pPr>
            <w:r w:rsidRPr="00E564F8">
              <w:rPr>
                <w:rFonts w:ascii="Times New Roman" w:hAnsi="Times New Roman" w:cs="Times New Roman"/>
              </w:rPr>
              <w:t>1.</w:t>
            </w:r>
          </w:p>
        </w:tc>
        <w:tc>
          <w:tcPr>
            <w:tcW w:w="1985"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Pendanaan dan Investasi</w:t>
            </w:r>
          </w:p>
        </w:tc>
        <w:tc>
          <w:tcPr>
            <w:tcW w:w="6627"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Identifikasi yang mengandung riba, identifikasi yang mengandung gharar, sumber dan jumlah zakat serta metode pengumpulan dan distribusi zakat, serta kebijakan mengatasi keterlambatan pembayaran</w:t>
            </w:r>
          </w:p>
        </w:tc>
      </w:tr>
      <w:tr w:rsidR="002C7A36" w:rsidRPr="00E564F8" w:rsidTr="00CF0CD7">
        <w:tc>
          <w:tcPr>
            <w:tcW w:w="567" w:type="dxa"/>
          </w:tcPr>
          <w:p w:rsidR="002C7A36" w:rsidRPr="00E564F8" w:rsidRDefault="002C7A36" w:rsidP="00CF0CD7">
            <w:pPr>
              <w:ind w:firstLine="0"/>
              <w:jc w:val="center"/>
              <w:rPr>
                <w:rFonts w:ascii="Times New Roman" w:hAnsi="Times New Roman" w:cs="Times New Roman"/>
              </w:rPr>
            </w:pPr>
            <w:r w:rsidRPr="00E564F8">
              <w:rPr>
                <w:rFonts w:ascii="Times New Roman" w:hAnsi="Times New Roman" w:cs="Times New Roman"/>
              </w:rPr>
              <w:t>2.</w:t>
            </w:r>
          </w:p>
        </w:tc>
        <w:tc>
          <w:tcPr>
            <w:tcW w:w="1985"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 xml:space="preserve">Prioduk Jasa </w:t>
            </w:r>
          </w:p>
        </w:tc>
        <w:tc>
          <w:tcPr>
            <w:tcW w:w="6627"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Status halal dalam produk, pengembangan produk, peningkatan pelayanan dan keluhan pelanggan</w:t>
            </w:r>
          </w:p>
        </w:tc>
      </w:tr>
      <w:tr w:rsidR="002C7A36" w:rsidRPr="00E564F8" w:rsidTr="00CF0CD7">
        <w:tc>
          <w:tcPr>
            <w:tcW w:w="567" w:type="dxa"/>
          </w:tcPr>
          <w:p w:rsidR="002C7A36" w:rsidRPr="00E564F8" w:rsidRDefault="002C7A36" w:rsidP="00CF0CD7">
            <w:pPr>
              <w:ind w:firstLine="0"/>
              <w:jc w:val="center"/>
              <w:rPr>
                <w:rFonts w:ascii="Times New Roman" w:hAnsi="Times New Roman" w:cs="Times New Roman"/>
              </w:rPr>
            </w:pPr>
            <w:r w:rsidRPr="00E564F8">
              <w:rPr>
                <w:rFonts w:ascii="Times New Roman" w:hAnsi="Times New Roman" w:cs="Times New Roman"/>
              </w:rPr>
              <w:t>3.</w:t>
            </w:r>
          </w:p>
        </w:tc>
        <w:tc>
          <w:tcPr>
            <w:tcW w:w="1985"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 xml:space="preserve">Karyawan </w:t>
            </w:r>
          </w:p>
        </w:tc>
        <w:tc>
          <w:tcPr>
            <w:tcW w:w="6627"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Karakteristik pekerjaan, pendidikan dan pelatihan, kesempatan yang sama, kesehatan dan keselamatan kerja, lingkungan kerja dan perekrutan khusus.</w:t>
            </w:r>
          </w:p>
        </w:tc>
      </w:tr>
      <w:tr w:rsidR="002C7A36" w:rsidRPr="00E564F8" w:rsidTr="00CF0CD7">
        <w:tc>
          <w:tcPr>
            <w:tcW w:w="567" w:type="dxa"/>
          </w:tcPr>
          <w:p w:rsidR="002C7A36" w:rsidRPr="00E564F8" w:rsidRDefault="002C7A36" w:rsidP="00CF0CD7">
            <w:pPr>
              <w:ind w:firstLine="0"/>
              <w:jc w:val="center"/>
              <w:rPr>
                <w:rFonts w:ascii="Times New Roman" w:hAnsi="Times New Roman" w:cs="Times New Roman"/>
              </w:rPr>
            </w:pPr>
            <w:r w:rsidRPr="00E564F8">
              <w:rPr>
                <w:rFonts w:ascii="Times New Roman" w:hAnsi="Times New Roman" w:cs="Times New Roman"/>
              </w:rPr>
              <w:t>4.</w:t>
            </w:r>
          </w:p>
        </w:tc>
        <w:tc>
          <w:tcPr>
            <w:tcW w:w="1985"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 xml:space="preserve">Masyarakat </w:t>
            </w:r>
          </w:p>
        </w:tc>
        <w:tc>
          <w:tcPr>
            <w:tcW w:w="6627"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Penyaluran dan distribusi zakat, donasi, qardul hasan, zakat atau sumbangan yang berasal dari karyawan, nasabah dan umum, kepedulian anak yatim, pembangunan atau renovasi sarana ibadah, kegiatan pemuda dan kemasyarakatan, kegiatan sosial dan sponsor acara kesehatan</w:t>
            </w:r>
          </w:p>
        </w:tc>
      </w:tr>
      <w:tr w:rsidR="002C7A36" w:rsidRPr="00E564F8" w:rsidTr="00CF0CD7">
        <w:tc>
          <w:tcPr>
            <w:tcW w:w="567" w:type="dxa"/>
          </w:tcPr>
          <w:p w:rsidR="002C7A36" w:rsidRPr="00E564F8" w:rsidRDefault="002C7A36" w:rsidP="00CF0CD7">
            <w:pPr>
              <w:ind w:firstLine="0"/>
              <w:jc w:val="center"/>
              <w:rPr>
                <w:rFonts w:ascii="Times New Roman" w:hAnsi="Times New Roman" w:cs="Times New Roman"/>
              </w:rPr>
            </w:pPr>
            <w:r w:rsidRPr="00E564F8">
              <w:rPr>
                <w:rFonts w:ascii="Times New Roman" w:hAnsi="Times New Roman" w:cs="Times New Roman"/>
              </w:rPr>
              <w:t>5.</w:t>
            </w:r>
          </w:p>
        </w:tc>
        <w:tc>
          <w:tcPr>
            <w:tcW w:w="1985"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 xml:space="preserve">Lingkungan </w:t>
            </w:r>
          </w:p>
        </w:tc>
        <w:tc>
          <w:tcPr>
            <w:tcW w:w="6627"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Kampanye dan pelaksanaan go green, konservasi lingkungan, perlindungan terhadap flora dan fauna, tingkat polusi, perbaian dan pembuatan sarana umum, audit lingkungan dan kebijakan manajemen lingkungan</w:t>
            </w:r>
          </w:p>
        </w:tc>
      </w:tr>
      <w:tr w:rsidR="002C7A36" w:rsidRPr="00E564F8" w:rsidTr="00CF0CD7">
        <w:tc>
          <w:tcPr>
            <w:tcW w:w="567" w:type="dxa"/>
          </w:tcPr>
          <w:p w:rsidR="002C7A36" w:rsidRPr="00E564F8" w:rsidRDefault="002C7A36" w:rsidP="00CF0CD7">
            <w:pPr>
              <w:ind w:firstLine="0"/>
              <w:jc w:val="center"/>
              <w:rPr>
                <w:rFonts w:ascii="Times New Roman" w:hAnsi="Times New Roman" w:cs="Times New Roman"/>
              </w:rPr>
            </w:pPr>
            <w:r w:rsidRPr="00E564F8">
              <w:rPr>
                <w:rFonts w:ascii="Times New Roman" w:hAnsi="Times New Roman" w:cs="Times New Roman"/>
              </w:rPr>
              <w:t>6.</w:t>
            </w:r>
          </w:p>
        </w:tc>
        <w:tc>
          <w:tcPr>
            <w:tcW w:w="1985"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Tata Kelola Perusahaan</w:t>
            </w:r>
          </w:p>
        </w:tc>
        <w:tc>
          <w:tcPr>
            <w:tcW w:w="6627" w:type="dxa"/>
          </w:tcPr>
          <w:p w:rsidR="002C7A36" w:rsidRPr="00E564F8" w:rsidRDefault="002C7A36" w:rsidP="00CF0CD7">
            <w:pPr>
              <w:ind w:firstLine="0"/>
              <w:jc w:val="both"/>
              <w:rPr>
                <w:rFonts w:ascii="Times New Roman" w:hAnsi="Times New Roman" w:cs="Times New Roman"/>
              </w:rPr>
            </w:pPr>
            <w:r w:rsidRPr="00E564F8">
              <w:rPr>
                <w:rFonts w:ascii="Times New Roman" w:hAnsi="Times New Roman" w:cs="Times New Roman"/>
              </w:rPr>
              <w:t>Profil dan strategi organisasi, struktur organisasi, pelaksanaan tugas dan tanggung jawab dewan komisaris, pelaksanaan dan tanggung jawab dewan direksi, kelengkapan dan pelaksanaan tugas komite, pelaksanaan dan tanggungjawab dewan pengawas syariah, pelaksanaan prinsip syariah dalam, perhimpunan dan penyaluran dana serta pelayanan jasa, penanganan antar kepentingan, penerapan fungsi kepatuhan bank, penerapan fungsi audit intern, penerapan fungsi audit ekstrernal, batas maksimum penyaluran dana, transparansi kondisi keuangan dan non keuangan, kebijakan anti cuci uang dan praktek menyimpang lainnya, dan etika perusahaan</w:t>
            </w:r>
          </w:p>
        </w:tc>
      </w:tr>
    </w:tbl>
    <w:p w:rsidR="002C7A36" w:rsidRPr="00623B44" w:rsidRDefault="002C7A36" w:rsidP="002C7A36">
      <w:pPr>
        <w:ind w:firstLine="0"/>
        <w:jc w:val="center"/>
        <w:rPr>
          <w:rFonts w:ascii="Times New Roman" w:hAnsi="Times New Roman" w:cs="Times New Roman"/>
          <w:sz w:val="20"/>
          <w:szCs w:val="20"/>
        </w:rPr>
      </w:pPr>
      <w:r w:rsidRPr="00623B44">
        <w:rPr>
          <w:rFonts w:ascii="Times New Roman" w:hAnsi="Times New Roman" w:cs="Times New Roman"/>
          <w:sz w:val="20"/>
          <w:szCs w:val="20"/>
        </w:rPr>
        <w:t>(Sumber: Haniffa, 2002: Othman, et al, 2010 &amp; Trisnawati, 2012, diolah, 2020)</w:t>
      </w:r>
    </w:p>
    <w:p w:rsidR="002C7A36" w:rsidRPr="00E564F8" w:rsidRDefault="002C7A36" w:rsidP="002C7A36">
      <w:pPr>
        <w:ind w:firstLine="0"/>
        <w:jc w:val="both"/>
        <w:rPr>
          <w:rFonts w:ascii="Times New Roman" w:hAnsi="Times New Roman" w:cs="Times New Roman"/>
        </w:rPr>
      </w:pPr>
    </w:p>
    <w:p w:rsidR="002C7A36" w:rsidRPr="00E564F8" w:rsidRDefault="002C7A36" w:rsidP="002C7A36">
      <w:pPr>
        <w:ind w:firstLine="0"/>
        <w:rPr>
          <w:rFonts w:ascii="Times New Roman" w:hAnsi="Times New Roman" w:cs="Times New Roman"/>
          <w:b/>
          <w:bCs/>
        </w:rPr>
      </w:pPr>
      <w:r w:rsidRPr="00E564F8">
        <w:rPr>
          <w:rFonts w:ascii="Times New Roman" w:hAnsi="Times New Roman" w:cs="Times New Roman"/>
          <w:b/>
          <w:bCs/>
        </w:rPr>
        <w:t>Tabel 2. Rata-Rata Indeks ISR Perbankan Syariah Milik Negara Periode 2014-2018</w:t>
      </w:r>
    </w:p>
    <w:p w:rsidR="002C7A36" w:rsidRPr="00E564F8" w:rsidRDefault="002C7A36" w:rsidP="002C7A36">
      <w:pPr>
        <w:ind w:firstLine="0"/>
        <w:jc w:val="center"/>
        <w:rPr>
          <w:rFonts w:ascii="Times New Roman" w:hAnsi="Times New Roman" w:cs="Times New Roman"/>
          <w:b/>
          <w:bCs/>
        </w:rPr>
      </w:pPr>
      <w:r w:rsidRPr="00E564F8">
        <w:rPr>
          <w:rFonts w:ascii="Times New Roman" w:hAnsi="Times New Roman" w:cs="Times New Roman"/>
          <w:b/>
          <w:bCs/>
        </w:rPr>
        <w:t>(Pendanaan dan Investasi)</w:t>
      </w:r>
    </w:p>
    <w:p w:rsidR="002C7A36" w:rsidRPr="00E564F8" w:rsidRDefault="002C7A36" w:rsidP="002C7A36">
      <w:pPr>
        <w:ind w:firstLine="0"/>
        <w:jc w:val="center"/>
        <w:rPr>
          <w:rFonts w:ascii="Times New Roman" w:hAnsi="Times New Roman" w:cs="Times New Roman"/>
          <w:b/>
          <w:bCs/>
        </w:rPr>
      </w:pPr>
    </w:p>
    <w:tbl>
      <w:tblPr>
        <w:tblW w:w="5501" w:type="dxa"/>
        <w:jc w:val="center"/>
        <w:tblInd w:w="93" w:type="dxa"/>
        <w:tblLook w:val="04A0"/>
      </w:tblPr>
      <w:tblGrid>
        <w:gridCol w:w="1171"/>
        <w:gridCol w:w="720"/>
        <w:gridCol w:w="720"/>
        <w:gridCol w:w="720"/>
        <w:gridCol w:w="720"/>
        <w:gridCol w:w="720"/>
        <w:gridCol w:w="730"/>
      </w:tblGrid>
      <w:tr w:rsidR="002C7A36" w:rsidRPr="00E564F8" w:rsidTr="00CF0CD7">
        <w:trPr>
          <w:trHeight w:val="315"/>
          <w:jc w:val="center"/>
        </w:trPr>
        <w:tc>
          <w:tcPr>
            <w:tcW w:w="1171"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Bank/Thn</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right"/>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2014</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right"/>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2015</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right"/>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2016</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right"/>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2017</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right"/>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2018</w:t>
            </w:r>
          </w:p>
        </w:tc>
        <w:tc>
          <w:tcPr>
            <w:tcW w:w="730" w:type="dxa"/>
            <w:tcBorders>
              <w:top w:val="single" w:sz="8" w:space="0" w:color="auto"/>
              <w:left w:val="nil"/>
              <w:bottom w:val="single" w:sz="4" w:space="0" w:color="auto"/>
              <w:right w:val="single" w:sz="8" w:space="0" w:color="auto"/>
            </w:tcBorders>
            <w:shd w:val="clear" w:color="auto" w:fill="D9D9D9" w:themeFill="background1" w:themeFillShade="D9"/>
            <w:noWrap/>
            <w:vAlign w:val="bottom"/>
            <w:hideMark/>
          </w:tcPr>
          <w:p w:rsidR="002C7A36" w:rsidRPr="00E564F8" w:rsidRDefault="002C7A36" w:rsidP="00CF0CD7">
            <w:pPr>
              <w:ind w:firstLine="0"/>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Rata2</w:t>
            </w:r>
          </w:p>
        </w:tc>
      </w:tr>
      <w:tr w:rsidR="002C7A36" w:rsidRPr="00E564F8" w:rsidTr="00CF0CD7">
        <w:trPr>
          <w:trHeight w:val="300"/>
          <w:jc w:val="center"/>
        </w:trPr>
        <w:tc>
          <w:tcPr>
            <w:tcW w:w="1171"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BNIS</w:t>
            </w:r>
          </w:p>
        </w:tc>
        <w:tc>
          <w:tcPr>
            <w:tcW w:w="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83,33</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720" w:type="dxa"/>
            <w:tcBorders>
              <w:top w:val="single" w:sz="8" w:space="0" w:color="auto"/>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83,33</w:t>
            </w:r>
          </w:p>
        </w:tc>
        <w:tc>
          <w:tcPr>
            <w:tcW w:w="730"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73,33</w:t>
            </w:r>
          </w:p>
        </w:tc>
      </w:tr>
      <w:tr w:rsidR="002C7A36" w:rsidRPr="00E564F8" w:rsidTr="00CF0CD7">
        <w:trPr>
          <w:trHeight w:val="300"/>
          <w:jc w:val="center"/>
        </w:trPr>
        <w:tc>
          <w:tcPr>
            <w:tcW w:w="1171"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BSM</w:t>
            </w:r>
          </w:p>
        </w:tc>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50</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50</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720"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50</w:t>
            </w:r>
          </w:p>
        </w:tc>
        <w:tc>
          <w:tcPr>
            <w:tcW w:w="730"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63,33</w:t>
            </w:r>
          </w:p>
        </w:tc>
      </w:tr>
      <w:tr w:rsidR="002C7A36" w:rsidRPr="00E564F8" w:rsidTr="00CF0CD7">
        <w:trPr>
          <w:trHeight w:val="315"/>
          <w:jc w:val="center"/>
        </w:trPr>
        <w:tc>
          <w:tcPr>
            <w:tcW w:w="1171"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BRIS</w:t>
            </w:r>
          </w:p>
        </w:tc>
        <w:tc>
          <w:tcPr>
            <w:tcW w:w="720"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83,33</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50</w:t>
            </w:r>
          </w:p>
        </w:tc>
        <w:tc>
          <w:tcPr>
            <w:tcW w:w="720"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83,33</w:t>
            </w:r>
          </w:p>
        </w:tc>
        <w:tc>
          <w:tcPr>
            <w:tcW w:w="730"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56,67</w:t>
            </w:r>
          </w:p>
        </w:tc>
      </w:tr>
      <w:tr w:rsidR="002C7A36" w:rsidRPr="00E564F8" w:rsidTr="00CF0CD7">
        <w:trPr>
          <w:trHeight w:val="315"/>
          <w:jc w:val="center"/>
        </w:trPr>
        <w:tc>
          <w:tcPr>
            <w:tcW w:w="1171"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Rata2</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38,89</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61,11</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88,89</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61,11</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72,22</w:t>
            </w:r>
          </w:p>
        </w:tc>
        <w:tc>
          <w:tcPr>
            <w:tcW w:w="730"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68,89</w:t>
            </w:r>
          </w:p>
        </w:tc>
      </w:tr>
    </w:tbl>
    <w:p w:rsidR="002C7A36" w:rsidRPr="00623B44" w:rsidRDefault="002C7A36" w:rsidP="002C7A36">
      <w:pPr>
        <w:ind w:firstLine="0"/>
        <w:jc w:val="center"/>
        <w:rPr>
          <w:rFonts w:ascii="Times New Roman" w:hAnsi="Times New Roman" w:cs="Times New Roman"/>
          <w:sz w:val="20"/>
          <w:szCs w:val="20"/>
        </w:rPr>
      </w:pPr>
      <w:r w:rsidRPr="00623B44">
        <w:rPr>
          <w:rFonts w:ascii="Times New Roman" w:hAnsi="Times New Roman" w:cs="Times New Roman"/>
          <w:sz w:val="20"/>
          <w:szCs w:val="20"/>
        </w:rPr>
        <w:t>(Sumber: annual report perbankan syariah, data diolah, 2020)</w:t>
      </w:r>
    </w:p>
    <w:p w:rsidR="002C7A36" w:rsidRPr="00E564F8" w:rsidRDefault="002C7A36" w:rsidP="002C7A36">
      <w:pPr>
        <w:ind w:firstLine="0"/>
        <w:rPr>
          <w:rFonts w:ascii="Times New Roman" w:hAnsi="Times New Roman" w:cs="Times New Roman"/>
          <w:b/>
          <w:bCs/>
        </w:rPr>
      </w:pPr>
    </w:p>
    <w:p w:rsidR="002C7A36" w:rsidRPr="00E564F8" w:rsidRDefault="002C7A36" w:rsidP="002C7A36">
      <w:pPr>
        <w:ind w:firstLine="0"/>
        <w:rPr>
          <w:rFonts w:ascii="Times New Roman" w:hAnsi="Times New Roman" w:cs="Times New Roman"/>
          <w:b/>
          <w:bCs/>
        </w:rPr>
      </w:pPr>
      <w:r w:rsidRPr="00E564F8">
        <w:rPr>
          <w:rFonts w:ascii="Times New Roman" w:hAnsi="Times New Roman" w:cs="Times New Roman"/>
          <w:b/>
          <w:bCs/>
        </w:rPr>
        <w:t>Tabel 3. Rata-Rata Indeks ISR Perbankan Syariah Milik Negara Periode 2014-2018</w:t>
      </w:r>
    </w:p>
    <w:p w:rsidR="002C7A36" w:rsidRPr="00E564F8" w:rsidRDefault="002C7A36" w:rsidP="002C7A36">
      <w:pPr>
        <w:ind w:firstLine="0"/>
        <w:jc w:val="center"/>
        <w:rPr>
          <w:rFonts w:ascii="Times New Roman" w:hAnsi="Times New Roman" w:cs="Times New Roman"/>
          <w:b/>
          <w:bCs/>
        </w:rPr>
      </w:pPr>
      <w:r w:rsidRPr="00E564F8">
        <w:rPr>
          <w:rFonts w:ascii="Times New Roman" w:hAnsi="Times New Roman" w:cs="Times New Roman"/>
          <w:b/>
          <w:bCs/>
        </w:rPr>
        <w:t>(Produk dan Jasa)</w:t>
      </w:r>
    </w:p>
    <w:p w:rsidR="002C7A36" w:rsidRPr="00E564F8" w:rsidRDefault="002C7A36" w:rsidP="002C7A36">
      <w:pPr>
        <w:ind w:firstLine="0"/>
        <w:jc w:val="center"/>
        <w:rPr>
          <w:rFonts w:ascii="Times New Roman" w:hAnsi="Times New Roman" w:cs="Times New Roman"/>
        </w:rPr>
      </w:pPr>
    </w:p>
    <w:tbl>
      <w:tblPr>
        <w:tblW w:w="5759" w:type="dxa"/>
        <w:jc w:val="center"/>
        <w:tblInd w:w="93" w:type="dxa"/>
        <w:tblLook w:val="04A0"/>
      </w:tblPr>
      <w:tblGrid>
        <w:gridCol w:w="1171"/>
        <w:gridCol w:w="720"/>
        <w:gridCol w:w="720"/>
        <w:gridCol w:w="829"/>
        <w:gridCol w:w="720"/>
        <w:gridCol w:w="829"/>
        <w:gridCol w:w="829"/>
      </w:tblGrid>
      <w:tr w:rsidR="002C7A36" w:rsidRPr="00E564F8" w:rsidTr="00CF0CD7">
        <w:trPr>
          <w:trHeight w:val="315"/>
          <w:jc w:val="center"/>
        </w:trPr>
        <w:tc>
          <w:tcPr>
            <w:tcW w:w="1112"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Bank/Thn</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2014</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2015</w:t>
            </w:r>
          </w:p>
        </w:tc>
        <w:tc>
          <w:tcPr>
            <w:tcW w:w="829"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2016</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2017</w:t>
            </w:r>
          </w:p>
        </w:tc>
        <w:tc>
          <w:tcPr>
            <w:tcW w:w="829"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2018</w:t>
            </w:r>
          </w:p>
        </w:tc>
        <w:tc>
          <w:tcPr>
            <w:tcW w:w="829" w:type="dxa"/>
            <w:tcBorders>
              <w:top w:val="single" w:sz="8" w:space="0" w:color="auto"/>
              <w:left w:val="nil"/>
              <w:bottom w:val="single" w:sz="4" w:space="0" w:color="auto"/>
              <w:right w:val="single" w:sz="8"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Rata2</w:t>
            </w:r>
          </w:p>
        </w:tc>
      </w:tr>
      <w:tr w:rsidR="002C7A36" w:rsidRPr="00E564F8" w:rsidTr="00CF0CD7">
        <w:trPr>
          <w:trHeight w:val="300"/>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BNIS</w:t>
            </w:r>
          </w:p>
        </w:tc>
        <w:tc>
          <w:tcPr>
            <w:tcW w:w="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single" w:sz="8" w:space="0" w:color="auto"/>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100,00</w:t>
            </w:r>
          </w:p>
        </w:tc>
      </w:tr>
      <w:tr w:rsidR="002C7A36" w:rsidRPr="00E564F8" w:rsidTr="00CF0CD7">
        <w:trPr>
          <w:trHeight w:val="300"/>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BSM</w:t>
            </w:r>
          </w:p>
        </w:tc>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0</w:t>
            </w:r>
          </w:p>
        </w:tc>
        <w:tc>
          <w:tcPr>
            <w:tcW w:w="829"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80,00</w:t>
            </w:r>
          </w:p>
        </w:tc>
      </w:tr>
      <w:tr w:rsidR="002C7A36" w:rsidRPr="00E564F8" w:rsidTr="00CF0CD7">
        <w:trPr>
          <w:trHeight w:val="315"/>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BRIS</w:t>
            </w:r>
          </w:p>
        </w:tc>
        <w:tc>
          <w:tcPr>
            <w:tcW w:w="720"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33,33</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33,33</w:t>
            </w:r>
          </w:p>
        </w:tc>
        <w:tc>
          <w:tcPr>
            <w:tcW w:w="829"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73,33</w:t>
            </w:r>
          </w:p>
        </w:tc>
      </w:tr>
      <w:tr w:rsidR="002C7A36" w:rsidRPr="00E564F8" w:rsidTr="00CF0CD7">
        <w:trPr>
          <w:trHeight w:val="315"/>
          <w:jc w:val="center"/>
        </w:trPr>
        <w:tc>
          <w:tcPr>
            <w:tcW w:w="1112"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Rata2</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77,78</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77,78</w:t>
            </w:r>
          </w:p>
        </w:tc>
        <w:tc>
          <w:tcPr>
            <w:tcW w:w="829"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100,00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829"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100,00</w:t>
            </w:r>
          </w:p>
        </w:tc>
        <w:tc>
          <w:tcPr>
            <w:tcW w:w="829"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91,11</w:t>
            </w:r>
          </w:p>
        </w:tc>
      </w:tr>
    </w:tbl>
    <w:p w:rsidR="002C7A36" w:rsidRPr="00623B44" w:rsidRDefault="002C7A36" w:rsidP="002C7A36">
      <w:pPr>
        <w:ind w:firstLine="0"/>
        <w:jc w:val="center"/>
        <w:rPr>
          <w:rFonts w:ascii="Times New Roman" w:hAnsi="Times New Roman" w:cs="Times New Roman"/>
          <w:sz w:val="20"/>
          <w:szCs w:val="20"/>
        </w:rPr>
      </w:pPr>
      <w:r w:rsidRPr="00623B44">
        <w:rPr>
          <w:rFonts w:ascii="Times New Roman" w:hAnsi="Times New Roman" w:cs="Times New Roman"/>
          <w:sz w:val="20"/>
          <w:szCs w:val="20"/>
        </w:rPr>
        <w:t>(Sumber: annual report perbankan syariah, data diolah, 2020)</w:t>
      </w:r>
    </w:p>
    <w:p w:rsidR="002C7A36" w:rsidRPr="00E564F8" w:rsidRDefault="002C7A36" w:rsidP="002C7A36">
      <w:pPr>
        <w:ind w:firstLine="0"/>
        <w:rPr>
          <w:rFonts w:ascii="Times New Roman" w:hAnsi="Times New Roman" w:cs="Times New Roman"/>
          <w:b/>
          <w:bCs/>
        </w:rPr>
      </w:pPr>
      <w:r w:rsidRPr="00E564F8">
        <w:rPr>
          <w:rFonts w:ascii="Times New Roman" w:hAnsi="Times New Roman" w:cs="Times New Roman"/>
          <w:b/>
          <w:bCs/>
        </w:rPr>
        <w:lastRenderedPageBreak/>
        <w:t>Tabel 4. Rata-Rata Indeks ISR Perbankan Syariah Milik Negara Periode 2014-2018</w:t>
      </w:r>
    </w:p>
    <w:p w:rsidR="002C7A36" w:rsidRPr="00E564F8" w:rsidRDefault="002C7A36" w:rsidP="002C7A36">
      <w:pPr>
        <w:ind w:firstLine="0"/>
        <w:jc w:val="center"/>
        <w:rPr>
          <w:rFonts w:ascii="Times New Roman" w:hAnsi="Times New Roman" w:cs="Times New Roman"/>
          <w:b/>
          <w:bCs/>
        </w:rPr>
      </w:pPr>
      <w:r w:rsidRPr="00E564F8">
        <w:rPr>
          <w:rFonts w:ascii="Times New Roman" w:hAnsi="Times New Roman" w:cs="Times New Roman"/>
          <w:b/>
          <w:bCs/>
        </w:rPr>
        <w:t>(Karyawan)</w:t>
      </w:r>
    </w:p>
    <w:p w:rsidR="002C7A36" w:rsidRPr="00E564F8" w:rsidRDefault="002C7A36" w:rsidP="002C7A36">
      <w:pPr>
        <w:ind w:firstLine="0"/>
        <w:jc w:val="center"/>
        <w:rPr>
          <w:rFonts w:ascii="Times New Roman" w:hAnsi="Times New Roman" w:cs="Times New Roman"/>
        </w:rPr>
      </w:pPr>
    </w:p>
    <w:tbl>
      <w:tblPr>
        <w:tblW w:w="5444" w:type="dxa"/>
        <w:jc w:val="center"/>
        <w:tblInd w:w="91" w:type="dxa"/>
        <w:tblLook w:val="04A0"/>
      </w:tblPr>
      <w:tblGrid>
        <w:gridCol w:w="1171"/>
        <w:gridCol w:w="720"/>
        <w:gridCol w:w="720"/>
        <w:gridCol w:w="720"/>
        <w:gridCol w:w="720"/>
        <w:gridCol w:w="720"/>
        <w:gridCol w:w="732"/>
      </w:tblGrid>
      <w:tr w:rsidR="002C7A36" w:rsidRPr="00E564F8" w:rsidTr="00CF0CD7">
        <w:trPr>
          <w:trHeight w:val="315"/>
          <w:jc w:val="center"/>
        </w:trPr>
        <w:tc>
          <w:tcPr>
            <w:tcW w:w="1112"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Bank/Thn</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2014</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2015</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2016</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2017</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2018</w:t>
            </w:r>
          </w:p>
        </w:tc>
        <w:tc>
          <w:tcPr>
            <w:tcW w:w="732" w:type="dxa"/>
            <w:tcBorders>
              <w:top w:val="single" w:sz="8" w:space="0" w:color="auto"/>
              <w:left w:val="nil"/>
              <w:bottom w:val="single" w:sz="4" w:space="0" w:color="auto"/>
              <w:right w:val="single" w:sz="8"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Rata2</w:t>
            </w:r>
          </w:p>
        </w:tc>
      </w:tr>
      <w:tr w:rsidR="002C7A36" w:rsidRPr="00E564F8" w:rsidTr="00CF0CD7">
        <w:trPr>
          <w:trHeight w:val="300"/>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BNIS</w:t>
            </w:r>
          </w:p>
        </w:tc>
        <w:tc>
          <w:tcPr>
            <w:tcW w:w="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69,23</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69,23</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84,62</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76,92</w:t>
            </w:r>
          </w:p>
        </w:tc>
        <w:tc>
          <w:tcPr>
            <w:tcW w:w="720" w:type="dxa"/>
            <w:tcBorders>
              <w:top w:val="single" w:sz="8" w:space="0" w:color="auto"/>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56,41</w:t>
            </w:r>
          </w:p>
        </w:tc>
        <w:tc>
          <w:tcPr>
            <w:tcW w:w="732"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71,28</w:t>
            </w:r>
          </w:p>
        </w:tc>
      </w:tr>
      <w:tr w:rsidR="002C7A36" w:rsidRPr="00E564F8" w:rsidTr="00CF0CD7">
        <w:trPr>
          <w:trHeight w:val="300"/>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BSM</w:t>
            </w:r>
          </w:p>
        </w:tc>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61,54</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84,62</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61,54</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84,62</w:t>
            </w:r>
          </w:p>
        </w:tc>
        <w:tc>
          <w:tcPr>
            <w:tcW w:w="720"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76,92</w:t>
            </w:r>
          </w:p>
        </w:tc>
        <w:tc>
          <w:tcPr>
            <w:tcW w:w="732"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73,85</w:t>
            </w:r>
          </w:p>
        </w:tc>
      </w:tr>
      <w:tr w:rsidR="002C7A36" w:rsidRPr="00E564F8" w:rsidTr="00CF0CD7">
        <w:trPr>
          <w:trHeight w:val="315"/>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BRIS</w:t>
            </w:r>
          </w:p>
        </w:tc>
        <w:tc>
          <w:tcPr>
            <w:tcW w:w="720"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38,46</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61,54</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71,8</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79,49</w:t>
            </w:r>
          </w:p>
        </w:tc>
        <w:tc>
          <w:tcPr>
            <w:tcW w:w="720"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84,62</w:t>
            </w:r>
          </w:p>
        </w:tc>
        <w:tc>
          <w:tcPr>
            <w:tcW w:w="732"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67,18</w:t>
            </w:r>
          </w:p>
        </w:tc>
      </w:tr>
      <w:tr w:rsidR="002C7A36" w:rsidRPr="00E564F8" w:rsidTr="00CF0CD7">
        <w:trPr>
          <w:trHeight w:val="315"/>
          <w:jc w:val="center"/>
        </w:trPr>
        <w:tc>
          <w:tcPr>
            <w:tcW w:w="1112"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Rata2</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56,41</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71,80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72,65</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80,34</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72,65</w:t>
            </w:r>
          </w:p>
        </w:tc>
        <w:tc>
          <w:tcPr>
            <w:tcW w:w="732"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68,72</w:t>
            </w:r>
          </w:p>
        </w:tc>
      </w:tr>
    </w:tbl>
    <w:p w:rsidR="002C7A36" w:rsidRPr="00623B44" w:rsidRDefault="002C7A36" w:rsidP="002C7A36">
      <w:pPr>
        <w:ind w:firstLine="0"/>
        <w:jc w:val="center"/>
        <w:rPr>
          <w:rFonts w:ascii="Times New Roman" w:hAnsi="Times New Roman" w:cs="Times New Roman"/>
          <w:sz w:val="20"/>
          <w:szCs w:val="20"/>
        </w:rPr>
      </w:pPr>
      <w:r w:rsidRPr="00623B44">
        <w:rPr>
          <w:rFonts w:ascii="Times New Roman" w:hAnsi="Times New Roman" w:cs="Times New Roman"/>
          <w:sz w:val="20"/>
          <w:szCs w:val="20"/>
        </w:rPr>
        <w:t>(Sumber: annual report perbankan syariah, data diolah, 2020)</w:t>
      </w:r>
    </w:p>
    <w:p w:rsidR="002C7A36" w:rsidRDefault="002C7A36" w:rsidP="002C7A36">
      <w:pPr>
        <w:ind w:firstLine="0"/>
        <w:jc w:val="both"/>
        <w:rPr>
          <w:rFonts w:ascii="Times New Roman" w:hAnsi="Times New Roman" w:cs="Times New Roman"/>
        </w:rPr>
      </w:pPr>
    </w:p>
    <w:p w:rsidR="002C7A36" w:rsidRPr="00E564F8" w:rsidRDefault="002C7A36" w:rsidP="002C7A36">
      <w:pPr>
        <w:ind w:firstLine="0"/>
        <w:rPr>
          <w:rFonts w:ascii="Times New Roman" w:hAnsi="Times New Roman" w:cs="Times New Roman"/>
          <w:b/>
          <w:bCs/>
        </w:rPr>
      </w:pPr>
      <w:r w:rsidRPr="00E564F8">
        <w:rPr>
          <w:rFonts w:ascii="Times New Roman" w:hAnsi="Times New Roman" w:cs="Times New Roman"/>
          <w:b/>
          <w:bCs/>
        </w:rPr>
        <w:t>Tabel 5. Rata-Rata Indeks ISR Perbankan Syariah Milik Negara Periode 2014-2018</w:t>
      </w:r>
    </w:p>
    <w:p w:rsidR="002C7A36" w:rsidRPr="00E564F8" w:rsidRDefault="002C7A36" w:rsidP="002C7A36">
      <w:pPr>
        <w:ind w:firstLine="0"/>
        <w:jc w:val="center"/>
        <w:rPr>
          <w:rFonts w:ascii="Times New Roman" w:hAnsi="Times New Roman" w:cs="Times New Roman"/>
          <w:b/>
          <w:bCs/>
        </w:rPr>
      </w:pPr>
      <w:r w:rsidRPr="00E564F8">
        <w:rPr>
          <w:rFonts w:ascii="Times New Roman" w:hAnsi="Times New Roman" w:cs="Times New Roman"/>
          <w:b/>
          <w:bCs/>
        </w:rPr>
        <w:t>(Masyarakat)</w:t>
      </w:r>
    </w:p>
    <w:p w:rsidR="002C7A36" w:rsidRPr="00E564F8" w:rsidRDefault="002C7A36" w:rsidP="002C7A36">
      <w:pPr>
        <w:ind w:firstLine="0"/>
        <w:jc w:val="center"/>
        <w:rPr>
          <w:rFonts w:ascii="Times New Roman" w:hAnsi="Times New Roman" w:cs="Times New Roman"/>
        </w:rPr>
      </w:pPr>
    </w:p>
    <w:tbl>
      <w:tblPr>
        <w:tblW w:w="5444" w:type="dxa"/>
        <w:jc w:val="center"/>
        <w:tblInd w:w="91" w:type="dxa"/>
        <w:tblLook w:val="04A0"/>
      </w:tblPr>
      <w:tblGrid>
        <w:gridCol w:w="1171"/>
        <w:gridCol w:w="720"/>
        <w:gridCol w:w="720"/>
        <w:gridCol w:w="720"/>
        <w:gridCol w:w="720"/>
        <w:gridCol w:w="720"/>
        <w:gridCol w:w="732"/>
      </w:tblGrid>
      <w:tr w:rsidR="002C7A36" w:rsidRPr="00E564F8" w:rsidTr="00CF0CD7">
        <w:trPr>
          <w:trHeight w:val="315"/>
          <w:jc w:val="center"/>
        </w:trPr>
        <w:tc>
          <w:tcPr>
            <w:tcW w:w="1112"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Bank/Thn</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2014</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2015</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2016</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2017</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2018</w:t>
            </w:r>
          </w:p>
        </w:tc>
        <w:tc>
          <w:tcPr>
            <w:tcW w:w="732" w:type="dxa"/>
            <w:tcBorders>
              <w:top w:val="single" w:sz="8" w:space="0" w:color="auto"/>
              <w:left w:val="nil"/>
              <w:bottom w:val="single" w:sz="4" w:space="0" w:color="auto"/>
              <w:right w:val="single" w:sz="8"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Rata2</w:t>
            </w:r>
          </w:p>
        </w:tc>
      </w:tr>
      <w:tr w:rsidR="002C7A36" w:rsidRPr="00E564F8" w:rsidTr="00CF0CD7">
        <w:trPr>
          <w:trHeight w:val="300"/>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BNIS</w:t>
            </w:r>
          </w:p>
        </w:tc>
        <w:tc>
          <w:tcPr>
            <w:tcW w:w="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81,82</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63,64</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90,91</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81,82</w:t>
            </w:r>
          </w:p>
        </w:tc>
        <w:tc>
          <w:tcPr>
            <w:tcW w:w="720" w:type="dxa"/>
            <w:tcBorders>
              <w:top w:val="single" w:sz="8" w:space="0" w:color="auto"/>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81,82</w:t>
            </w:r>
          </w:p>
        </w:tc>
        <w:tc>
          <w:tcPr>
            <w:tcW w:w="732"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80,00</w:t>
            </w:r>
          </w:p>
        </w:tc>
      </w:tr>
      <w:tr w:rsidR="002C7A36" w:rsidRPr="00E564F8" w:rsidTr="00CF0CD7">
        <w:trPr>
          <w:trHeight w:val="300"/>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BSM</w:t>
            </w:r>
          </w:p>
        </w:tc>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63,64</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72,73</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81,82</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81,82</w:t>
            </w:r>
          </w:p>
        </w:tc>
        <w:tc>
          <w:tcPr>
            <w:tcW w:w="720"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90,91</w:t>
            </w:r>
          </w:p>
        </w:tc>
        <w:tc>
          <w:tcPr>
            <w:tcW w:w="732"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78,18</w:t>
            </w:r>
          </w:p>
        </w:tc>
      </w:tr>
      <w:tr w:rsidR="002C7A36" w:rsidRPr="00E564F8" w:rsidTr="00CF0CD7">
        <w:trPr>
          <w:trHeight w:val="315"/>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BRIS</w:t>
            </w:r>
          </w:p>
        </w:tc>
        <w:tc>
          <w:tcPr>
            <w:tcW w:w="720"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36,36</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63,64</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54,55</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81,82</w:t>
            </w:r>
          </w:p>
        </w:tc>
        <w:tc>
          <w:tcPr>
            <w:tcW w:w="720"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732"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67,27</w:t>
            </w:r>
          </w:p>
        </w:tc>
      </w:tr>
      <w:tr w:rsidR="002C7A36" w:rsidRPr="00E564F8" w:rsidTr="00CF0CD7">
        <w:trPr>
          <w:trHeight w:val="315"/>
          <w:jc w:val="center"/>
        </w:trPr>
        <w:tc>
          <w:tcPr>
            <w:tcW w:w="1112"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Rata2</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60,61</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75,76</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81,82</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90,91</w:t>
            </w:r>
          </w:p>
        </w:tc>
        <w:tc>
          <w:tcPr>
            <w:tcW w:w="732"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75,15</w:t>
            </w:r>
          </w:p>
        </w:tc>
      </w:tr>
    </w:tbl>
    <w:p w:rsidR="002C7A36" w:rsidRPr="00623B44" w:rsidRDefault="002C7A36" w:rsidP="002C7A36">
      <w:pPr>
        <w:ind w:firstLine="0"/>
        <w:jc w:val="center"/>
        <w:rPr>
          <w:rFonts w:ascii="Times New Roman" w:hAnsi="Times New Roman" w:cs="Times New Roman"/>
          <w:sz w:val="20"/>
          <w:szCs w:val="20"/>
        </w:rPr>
      </w:pPr>
      <w:r w:rsidRPr="00623B44">
        <w:rPr>
          <w:rFonts w:ascii="Times New Roman" w:hAnsi="Times New Roman" w:cs="Times New Roman"/>
          <w:sz w:val="20"/>
          <w:szCs w:val="20"/>
        </w:rPr>
        <w:t>(Sumber: annual report perbankan syariah, data diolah, 2020)</w:t>
      </w:r>
    </w:p>
    <w:p w:rsidR="002C7A36" w:rsidRPr="00E564F8" w:rsidRDefault="002C7A36" w:rsidP="002C7A36">
      <w:pPr>
        <w:ind w:firstLine="0"/>
        <w:rPr>
          <w:rFonts w:ascii="Times New Roman" w:hAnsi="Times New Roman" w:cs="Times New Roman"/>
        </w:rPr>
      </w:pPr>
    </w:p>
    <w:p w:rsidR="002C7A36" w:rsidRPr="00E564F8" w:rsidRDefault="002C7A36" w:rsidP="002C7A36">
      <w:pPr>
        <w:ind w:firstLine="0"/>
        <w:rPr>
          <w:rFonts w:ascii="Times New Roman" w:hAnsi="Times New Roman" w:cs="Times New Roman"/>
          <w:b/>
          <w:bCs/>
        </w:rPr>
      </w:pPr>
      <w:r w:rsidRPr="00E564F8">
        <w:rPr>
          <w:rFonts w:ascii="Times New Roman" w:hAnsi="Times New Roman" w:cs="Times New Roman"/>
          <w:b/>
          <w:bCs/>
        </w:rPr>
        <w:t>Tabel 6. Rata-Rata Indeks ISR Perbankan Syariah Milik Negara Periode 2014-2018</w:t>
      </w:r>
    </w:p>
    <w:p w:rsidR="002C7A36" w:rsidRPr="00E564F8" w:rsidRDefault="002C7A36" w:rsidP="002C7A36">
      <w:pPr>
        <w:ind w:firstLine="0"/>
        <w:jc w:val="center"/>
        <w:rPr>
          <w:rFonts w:ascii="Times New Roman" w:hAnsi="Times New Roman" w:cs="Times New Roman"/>
          <w:b/>
          <w:bCs/>
        </w:rPr>
      </w:pPr>
      <w:r w:rsidRPr="00E564F8">
        <w:rPr>
          <w:rFonts w:ascii="Times New Roman" w:hAnsi="Times New Roman" w:cs="Times New Roman"/>
          <w:b/>
          <w:bCs/>
        </w:rPr>
        <w:t>(Lingkungan)</w:t>
      </w:r>
    </w:p>
    <w:p w:rsidR="002C7A36" w:rsidRPr="00E564F8" w:rsidRDefault="002C7A36" w:rsidP="002C7A36">
      <w:pPr>
        <w:ind w:firstLine="0"/>
        <w:jc w:val="center"/>
        <w:rPr>
          <w:rFonts w:ascii="Times New Roman" w:hAnsi="Times New Roman" w:cs="Times New Roman"/>
        </w:rPr>
      </w:pPr>
    </w:p>
    <w:tbl>
      <w:tblPr>
        <w:tblW w:w="5444" w:type="dxa"/>
        <w:jc w:val="center"/>
        <w:tblInd w:w="91" w:type="dxa"/>
        <w:tblLook w:val="04A0"/>
      </w:tblPr>
      <w:tblGrid>
        <w:gridCol w:w="1171"/>
        <w:gridCol w:w="720"/>
        <w:gridCol w:w="720"/>
        <w:gridCol w:w="720"/>
        <w:gridCol w:w="720"/>
        <w:gridCol w:w="720"/>
        <w:gridCol w:w="732"/>
      </w:tblGrid>
      <w:tr w:rsidR="002C7A36" w:rsidRPr="00E564F8" w:rsidTr="00CF0CD7">
        <w:trPr>
          <w:trHeight w:val="315"/>
          <w:jc w:val="center"/>
        </w:trPr>
        <w:tc>
          <w:tcPr>
            <w:tcW w:w="1112"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Bank/Thn</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2014</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2015</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2016</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2017</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2018</w:t>
            </w:r>
          </w:p>
        </w:tc>
        <w:tc>
          <w:tcPr>
            <w:tcW w:w="732" w:type="dxa"/>
            <w:tcBorders>
              <w:top w:val="single" w:sz="8" w:space="0" w:color="auto"/>
              <w:left w:val="nil"/>
              <w:bottom w:val="single" w:sz="4" w:space="0" w:color="auto"/>
              <w:right w:val="single" w:sz="8"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Rata2</w:t>
            </w:r>
          </w:p>
        </w:tc>
      </w:tr>
      <w:tr w:rsidR="002C7A36" w:rsidRPr="00E564F8" w:rsidTr="00CF0CD7">
        <w:trPr>
          <w:trHeight w:val="300"/>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BNIS</w:t>
            </w:r>
          </w:p>
        </w:tc>
        <w:tc>
          <w:tcPr>
            <w:tcW w:w="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0</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0</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60</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60</w:t>
            </w:r>
          </w:p>
        </w:tc>
        <w:tc>
          <w:tcPr>
            <w:tcW w:w="720" w:type="dxa"/>
            <w:tcBorders>
              <w:top w:val="single" w:sz="8" w:space="0" w:color="auto"/>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80</w:t>
            </w:r>
          </w:p>
        </w:tc>
        <w:tc>
          <w:tcPr>
            <w:tcW w:w="732"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40,00</w:t>
            </w:r>
          </w:p>
        </w:tc>
      </w:tr>
      <w:tr w:rsidR="002C7A36" w:rsidRPr="00E564F8" w:rsidTr="00CF0CD7">
        <w:trPr>
          <w:trHeight w:val="300"/>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BSM</w:t>
            </w:r>
          </w:p>
        </w:tc>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40</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40</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40</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60</w:t>
            </w:r>
          </w:p>
        </w:tc>
        <w:tc>
          <w:tcPr>
            <w:tcW w:w="720"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40</w:t>
            </w:r>
          </w:p>
        </w:tc>
        <w:tc>
          <w:tcPr>
            <w:tcW w:w="732"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44,00</w:t>
            </w:r>
          </w:p>
        </w:tc>
      </w:tr>
      <w:tr w:rsidR="002C7A36" w:rsidRPr="00E564F8" w:rsidTr="00CF0CD7">
        <w:trPr>
          <w:trHeight w:val="315"/>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BRIS</w:t>
            </w:r>
          </w:p>
        </w:tc>
        <w:tc>
          <w:tcPr>
            <w:tcW w:w="720"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40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20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60</w:t>
            </w:r>
          </w:p>
        </w:tc>
        <w:tc>
          <w:tcPr>
            <w:tcW w:w="720"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80</w:t>
            </w:r>
          </w:p>
        </w:tc>
        <w:tc>
          <w:tcPr>
            <w:tcW w:w="732"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56,00</w:t>
            </w:r>
          </w:p>
        </w:tc>
      </w:tr>
      <w:tr w:rsidR="002C7A36" w:rsidRPr="00E564F8" w:rsidTr="00CF0CD7">
        <w:trPr>
          <w:trHeight w:val="315"/>
          <w:jc w:val="center"/>
        </w:trPr>
        <w:tc>
          <w:tcPr>
            <w:tcW w:w="1112"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Rata2</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26,67</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20,00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60,00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60,00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732"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46,67</w:t>
            </w:r>
          </w:p>
        </w:tc>
      </w:tr>
    </w:tbl>
    <w:p w:rsidR="002C7A36" w:rsidRPr="00623B44" w:rsidRDefault="002C7A36" w:rsidP="002C7A36">
      <w:pPr>
        <w:ind w:firstLine="0"/>
        <w:jc w:val="center"/>
        <w:rPr>
          <w:rFonts w:ascii="Times New Roman" w:hAnsi="Times New Roman" w:cs="Times New Roman"/>
          <w:sz w:val="20"/>
          <w:szCs w:val="20"/>
        </w:rPr>
      </w:pPr>
      <w:r w:rsidRPr="00623B44">
        <w:rPr>
          <w:rFonts w:ascii="Times New Roman" w:hAnsi="Times New Roman" w:cs="Times New Roman"/>
          <w:sz w:val="20"/>
          <w:szCs w:val="20"/>
        </w:rPr>
        <w:t>(Sumber: annual report perbankan syariah, data diolah, 2020)</w:t>
      </w:r>
    </w:p>
    <w:p w:rsidR="002C7A36" w:rsidRPr="00E564F8" w:rsidRDefault="002C7A36" w:rsidP="002C7A36">
      <w:pPr>
        <w:ind w:firstLine="0"/>
        <w:rPr>
          <w:rFonts w:ascii="Times New Roman" w:hAnsi="Times New Roman" w:cs="Times New Roman"/>
        </w:rPr>
      </w:pPr>
    </w:p>
    <w:p w:rsidR="002C7A36" w:rsidRPr="00E564F8" w:rsidRDefault="002C7A36" w:rsidP="002C7A36">
      <w:pPr>
        <w:ind w:firstLine="0"/>
        <w:rPr>
          <w:rFonts w:ascii="Times New Roman" w:hAnsi="Times New Roman" w:cs="Times New Roman"/>
          <w:b/>
          <w:bCs/>
        </w:rPr>
      </w:pPr>
      <w:r>
        <w:rPr>
          <w:rFonts w:ascii="Times New Roman" w:hAnsi="Times New Roman" w:cs="Times New Roman"/>
          <w:b/>
          <w:bCs/>
        </w:rPr>
        <w:t>T</w:t>
      </w:r>
      <w:r w:rsidRPr="00E564F8">
        <w:rPr>
          <w:rFonts w:ascii="Times New Roman" w:hAnsi="Times New Roman" w:cs="Times New Roman"/>
          <w:b/>
          <w:bCs/>
        </w:rPr>
        <w:t>abel 7. Rata-Rata Indeks ISR Perbankan Syariah Milik Negara Periode 2014-2018</w:t>
      </w:r>
    </w:p>
    <w:p w:rsidR="002C7A36" w:rsidRPr="00E564F8" w:rsidRDefault="002C7A36" w:rsidP="002C7A36">
      <w:pPr>
        <w:ind w:firstLine="0"/>
        <w:jc w:val="center"/>
        <w:rPr>
          <w:rFonts w:ascii="Times New Roman" w:hAnsi="Times New Roman" w:cs="Times New Roman"/>
          <w:b/>
          <w:bCs/>
        </w:rPr>
      </w:pPr>
      <w:r w:rsidRPr="00E564F8">
        <w:rPr>
          <w:rFonts w:ascii="Times New Roman" w:hAnsi="Times New Roman" w:cs="Times New Roman"/>
          <w:b/>
          <w:bCs/>
        </w:rPr>
        <w:t>(Tata Kelola Perusahaan)</w:t>
      </w:r>
    </w:p>
    <w:p w:rsidR="002C7A36" w:rsidRPr="00E564F8" w:rsidRDefault="002C7A36" w:rsidP="002C7A36">
      <w:pPr>
        <w:ind w:firstLine="0"/>
        <w:rPr>
          <w:rFonts w:ascii="Times New Roman" w:hAnsi="Times New Roman" w:cs="Times New Roman"/>
        </w:rPr>
      </w:pPr>
    </w:p>
    <w:tbl>
      <w:tblPr>
        <w:tblW w:w="5759" w:type="dxa"/>
        <w:jc w:val="center"/>
        <w:tblInd w:w="93" w:type="dxa"/>
        <w:tblLook w:val="04A0"/>
      </w:tblPr>
      <w:tblGrid>
        <w:gridCol w:w="1171"/>
        <w:gridCol w:w="720"/>
        <w:gridCol w:w="720"/>
        <w:gridCol w:w="829"/>
        <w:gridCol w:w="720"/>
        <w:gridCol w:w="829"/>
        <w:gridCol w:w="829"/>
      </w:tblGrid>
      <w:tr w:rsidR="002C7A36" w:rsidRPr="00E564F8" w:rsidTr="00CF0CD7">
        <w:trPr>
          <w:trHeight w:val="315"/>
          <w:jc w:val="center"/>
        </w:trPr>
        <w:tc>
          <w:tcPr>
            <w:tcW w:w="1112"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Bank/Thn</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right"/>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2014</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right"/>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2015</w:t>
            </w:r>
          </w:p>
        </w:tc>
        <w:tc>
          <w:tcPr>
            <w:tcW w:w="829"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right"/>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2016</w:t>
            </w:r>
          </w:p>
        </w:tc>
        <w:tc>
          <w:tcPr>
            <w:tcW w:w="720"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right"/>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2017</w:t>
            </w:r>
          </w:p>
        </w:tc>
        <w:tc>
          <w:tcPr>
            <w:tcW w:w="829" w:type="dxa"/>
            <w:tcBorders>
              <w:top w:val="single" w:sz="8" w:space="0" w:color="auto"/>
              <w:left w:val="nil"/>
              <w:bottom w:val="nil"/>
              <w:right w:val="single" w:sz="4" w:space="0" w:color="auto"/>
            </w:tcBorders>
            <w:shd w:val="clear" w:color="auto" w:fill="D9D9D9" w:themeFill="background1" w:themeFillShade="D9"/>
            <w:noWrap/>
            <w:vAlign w:val="bottom"/>
            <w:hideMark/>
          </w:tcPr>
          <w:p w:rsidR="002C7A36" w:rsidRPr="00E564F8" w:rsidRDefault="002C7A36" w:rsidP="00CF0CD7">
            <w:pPr>
              <w:ind w:firstLine="0"/>
              <w:jc w:val="right"/>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2018</w:t>
            </w:r>
          </w:p>
        </w:tc>
        <w:tc>
          <w:tcPr>
            <w:tcW w:w="829" w:type="dxa"/>
            <w:tcBorders>
              <w:top w:val="single" w:sz="8" w:space="0" w:color="auto"/>
              <w:left w:val="nil"/>
              <w:bottom w:val="single" w:sz="4" w:space="0" w:color="auto"/>
              <w:right w:val="single" w:sz="8" w:space="0" w:color="auto"/>
            </w:tcBorders>
            <w:shd w:val="clear" w:color="auto" w:fill="D9D9D9" w:themeFill="background1" w:themeFillShade="D9"/>
            <w:noWrap/>
            <w:vAlign w:val="bottom"/>
            <w:hideMark/>
          </w:tcPr>
          <w:p w:rsidR="002C7A36" w:rsidRPr="00E564F8" w:rsidRDefault="002C7A36" w:rsidP="00CF0CD7">
            <w:pPr>
              <w:ind w:firstLine="0"/>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Rata2</w:t>
            </w:r>
          </w:p>
        </w:tc>
      </w:tr>
      <w:tr w:rsidR="002C7A36" w:rsidRPr="00E564F8" w:rsidTr="00CF0CD7">
        <w:trPr>
          <w:trHeight w:val="300"/>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BNIS</w:t>
            </w:r>
          </w:p>
        </w:tc>
        <w:tc>
          <w:tcPr>
            <w:tcW w:w="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93</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93,33</w:t>
            </w:r>
          </w:p>
        </w:tc>
        <w:tc>
          <w:tcPr>
            <w:tcW w:w="829"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720" w:type="dxa"/>
            <w:tcBorders>
              <w:top w:val="single" w:sz="8" w:space="0" w:color="auto"/>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single" w:sz="8" w:space="0" w:color="auto"/>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97,27</w:t>
            </w:r>
          </w:p>
        </w:tc>
      </w:tr>
      <w:tr w:rsidR="002C7A36" w:rsidRPr="00E564F8" w:rsidTr="00CF0CD7">
        <w:trPr>
          <w:trHeight w:val="300"/>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BSM</w:t>
            </w:r>
          </w:p>
        </w:tc>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720"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100,00</w:t>
            </w:r>
          </w:p>
        </w:tc>
      </w:tr>
      <w:tr w:rsidR="002C7A36" w:rsidRPr="00E564F8" w:rsidTr="00CF0CD7">
        <w:trPr>
          <w:trHeight w:val="315"/>
          <w:jc w:val="center"/>
        </w:trPr>
        <w:tc>
          <w:tcPr>
            <w:tcW w:w="1112" w:type="dxa"/>
            <w:tcBorders>
              <w:top w:val="nil"/>
              <w:left w:val="single" w:sz="8" w:space="0" w:color="auto"/>
              <w:bottom w:val="single" w:sz="4" w:space="0" w:color="auto"/>
              <w:right w:val="nil"/>
            </w:tcBorders>
            <w:shd w:val="clear" w:color="auto" w:fill="auto"/>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BRIS</w:t>
            </w:r>
          </w:p>
        </w:tc>
        <w:tc>
          <w:tcPr>
            <w:tcW w:w="720"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86,67</w:t>
            </w:r>
          </w:p>
        </w:tc>
        <w:tc>
          <w:tcPr>
            <w:tcW w:w="829"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829"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w:t>
            </w:r>
          </w:p>
        </w:tc>
        <w:tc>
          <w:tcPr>
            <w:tcW w:w="829" w:type="dxa"/>
            <w:tcBorders>
              <w:top w:val="nil"/>
              <w:left w:val="nil"/>
              <w:bottom w:val="single" w:sz="4"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86,67</w:t>
            </w:r>
          </w:p>
        </w:tc>
      </w:tr>
      <w:tr w:rsidR="002C7A36" w:rsidRPr="00E564F8" w:rsidTr="00CF0CD7">
        <w:trPr>
          <w:trHeight w:val="315"/>
          <w:jc w:val="center"/>
        </w:trPr>
        <w:tc>
          <w:tcPr>
            <w:tcW w:w="1112" w:type="dxa"/>
            <w:tcBorders>
              <w:top w:val="nil"/>
              <w:left w:val="single" w:sz="8" w:space="0" w:color="auto"/>
              <w:bottom w:val="single" w:sz="8" w:space="0" w:color="auto"/>
              <w:right w:val="single" w:sz="4" w:space="0" w:color="auto"/>
            </w:tcBorders>
            <w:shd w:val="clear" w:color="auto" w:fill="auto"/>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Rata2</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91,00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93,33</w:t>
            </w:r>
          </w:p>
        </w:tc>
        <w:tc>
          <w:tcPr>
            <w:tcW w:w="829"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100,00</w:t>
            </w:r>
          </w:p>
        </w:tc>
        <w:tc>
          <w:tcPr>
            <w:tcW w:w="720"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88,89</w:t>
            </w:r>
          </w:p>
        </w:tc>
        <w:tc>
          <w:tcPr>
            <w:tcW w:w="829" w:type="dxa"/>
            <w:tcBorders>
              <w:top w:val="nil"/>
              <w:left w:val="nil"/>
              <w:bottom w:val="single" w:sz="8"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100,00</w:t>
            </w:r>
          </w:p>
        </w:tc>
        <w:tc>
          <w:tcPr>
            <w:tcW w:w="829" w:type="dxa"/>
            <w:tcBorders>
              <w:top w:val="nil"/>
              <w:left w:val="nil"/>
              <w:bottom w:val="single" w:sz="8"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84,44</w:t>
            </w:r>
          </w:p>
        </w:tc>
      </w:tr>
    </w:tbl>
    <w:p w:rsidR="002C7A36" w:rsidRPr="00623B44" w:rsidRDefault="002C7A36" w:rsidP="002C7A36">
      <w:pPr>
        <w:ind w:firstLine="0"/>
        <w:jc w:val="center"/>
        <w:rPr>
          <w:rFonts w:ascii="Times New Roman" w:hAnsi="Times New Roman" w:cs="Times New Roman"/>
          <w:sz w:val="20"/>
          <w:szCs w:val="20"/>
        </w:rPr>
      </w:pPr>
      <w:r w:rsidRPr="00623B44">
        <w:rPr>
          <w:rFonts w:ascii="Times New Roman" w:hAnsi="Times New Roman" w:cs="Times New Roman"/>
          <w:sz w:val="20"/>
          <w:szCs w:val="20"/>
        </w:rPr>
        <w:t>(Sumber: annual report perbankan syariah, data diolah, 2020)</w:t>
      </w:r>
    </w:p>
    <w:p w:rsidR="002C7A36" w:rsidRPr="00E564F8" w:rsidRDefault="002C7A36" w:rsidP="002C7A36">
      <w:pPr>
        <w:ind w:firstLine="0"/>
        <w:rPr>
          <w:rFonts w:ascii="Times New Roman" w:hAnsi="Times New Roman" w:cs="Times New Roman"/>
        </w:rPr>
      </w:pPr>
    </w:p>
    <w:p w:rsidR="002C7A36" w:rsidRDefault="002C7A36" w:rsidP="002C7A36">
      <w:pPr>
        <w:ind w:firstLine="0"/>
        <w:jc w:val="center"/>
        <w:rPr>
          <w:rFonts w:ascii="Times New Roman" w:hAnsi="Times New Roman" w:cs="Times New Roman"/>
          <w:b/>
          <w:bCs/>
        </w:rPr>
      </w:pPr>
    </w:p>
    <w:p w:rsidR="002C7A36" w:rsidRDefault="002C7A36" w:rsidP="002C7A36">
      <w:pPr>
        <w:ind w:firstLine="0"/>
        <w:jc w:val="center"/>
        <w:rPr>
          <w:rFonts w:ascii="Times New Roman" w:hAnsi="Times New Roman" w:cs="Times New Roman"/>
          <w:b/>
          <w:bCs/>
        </w:rPr>
      </w:pPr>
    </w:p>
    <w:p w:rsidR="002C7A36" w:rsidRDefault="002C7A36" w:rsidP="002C7A36">
      <w:pPr>
        <w:ind w:firstLine="0"/>
        <w:jc w:val="center"/>
        <w:rPr>
          <w:rFonts w:ascii="Times New Roman" w:hAnsi="Times New Roman" w:cs="Times New Roman"/>
          <w:b/>
          <w:bCs/>
        </w:rPr>
      </w:pPr>
    </w:p>
    <w:p w:rsidR="002C7A36" w:rsidRDefault="002C7A36" w:rsidP="002C7A36">
      <w:pPr>
        <w:ind w:firstLine="0"/>
        <w:jc w:val="center"/>
        <w:rPr>
          <w:rFonts w:ascii="Times New Roman" w:hAnsi="Times New Roman" w:cs="Times New Roman"/>
          <w:b/>
          <w:bCs/>
        </w:rPr>
      </w:pPr>
    </w:p>
    <w:p w:rsidR="002C7A36" w:rsidRDefault="002C7A36" w:rsidP="002C7A36">
      <w:pPr>
        <w:ind w:firstLine="0"/>
        <w:jc w:val="center"/>
        <w:rPr>
          <w:rFonts w:ascii="Times New Roman" w:hAnsi="Times New Roman" w:cs="Times New Roman"/>
          <w:b/>
          <w:bCs/>
        </w:rPr>
      </w:pPr>
    </w:p>
    <w:p w:rsidR="002C7A36" w:rsidRDefault="002C7A36" w:rsidP="002C7A36">
      <w:pPr>
        <w:ind w:firstLine="0"/>
        <w:jc w:val="center"/>
        <w:rPr>
          <w:rFonts w:ascii="Times New Roman" w:hAnsi="Times New Roman" w:cs="Times New Roman"/>
          <w:b/>
          <w:bCs/>
        </w:rPr>
      </w:pPr>
    </w:p>
    <w:p w:rsidR="002C7A36" w:rsidRDefault="002C7A36" w:rsidP="002C7A36">
      <w:pPr>
        <w:ind w:firstLine="0"/>
        <w:jc w:val="center"/>
        <w:rPr>
          <w:rFonts w:ascii="Times New Roman" w:hAnsi="Times New Roman" w:cs="Times New Roman"/>
          <w:b/>
          <w:bCs/>
        </w:rPr>
      </w:pPr>
    </w:p>
    <w:p w:rsidR="002C7A36" w:rsidRDefault="002C7A36" w:rsidP="002C7A36">
      <w:pPr>
        <w:ind w:firstLine="0"/>
        <w:jc w:val="center"/>
        <w:rPr>
          <w:rFonts w:ascii="Times New Roman" w:hAnsi="Times New Roman" w:cs="Times New Roman"/>
          <w:b/>
          <w:bCs/>
        </w:rPr>
      </w:pPr>
    </w:p>
    <w:p w:rsidR="002C7A36" w:rsidRDefault="002C7A36" w:rsidP="002C7A36">
      <w:pPr>
        <w:ind w:firstLine="0"/>
        <w:jc w:val="center"/>
        <w:rPr>
          <w:rFonts w:ascii="Times New Roman" w:hAnsi="Times New Roman" w:cs="Times New Roman"/>
          <w:b/>
          <w:bCs/>
        </w:rPr>
      </w:pPr>
    </w:p>
    <w:p w:rsidR="002C7A36" w:rsidRPr="00E564F8" w:rsidRDefault="002C7A36" w:rsidP="002C7A36">
      <w:pPr>
        <w:ind w:firstLine="0"/>
        <w:jc w:val="center"/>
        <w:rPr>
          <w:rFonts w:ascii="Times New Roman" w:hAnsi="Times New Roman" w:cs="Times New Roman"/>
          <w:b/>
          <w:bCs/>
        </w:rPr>
      </w:pPr>
      <w:r w:rsidRPr="00E564F8">
        <w:rPr>
          <w:rFonts w:ascii="Times New Roman" w:hAnsi="Times New Roman" w:cs="Times New Roman"/>
          <w:b/>
          <w:bCs/>
        </w:rPr>
        <w:lastRenderedPageBreak/>
        <w:t>Tabel 8. Rata-Rata Kumulatif Indeks ISR Perbankan Syariah Milik Negara Periode 2014-2018</w:t>
      </w:r>
    </w:p>
    <w:p w:rsidR="002C7A36" w:rsidRPr="00E564F8" w:rsidRDefault="002C7A36" w:rsidP="002C7A36">
      <w:pPr>
        <w:ind w:firstLine="0"/>
        <w:rPr>
          <w:rFonts w:ascii="Times New Roman" w:hAnsi="Times New Roman" w:cs="Times New Roman"/>
        </w:rPr>
      </w:pPr>
      <w:r w:rsidRPr="00E564F8">
        <w:rPr>
          <w:rFonts w:ascii="Times New Roman" w:hAnsi="Times New Roman" w:cs="Times New Roman"/>
        </w:rPr>
        <w:t xml:space="preserve"> </w:t>
      </w:r>
    </w:p>
    <w:tbl>
      <w:tblPr>
        <w:tblW w:w="8618" w:type="dxa"/>
        <w:jc w:val="center"/>
        <w:tblInd w:w="91" w:type="dxa"/>
        <w:tblLook w:val="04A0"/>
      </w:tblPr>
      <w:tblGrid>
        <w:gridCol w:w="485"/>
        <w:gridCol w:w="2260"/>
        <w:gridCol w:w="895"/>
        <w:gridCol w:w="895"/>
        <w:gridCol w:w="1005"/>
        <w:gridCol w:w="1005"/>
        <w:gridCol w:w="1005"/>
        <w:gridCol w:w="1068"/>
      </w:tblGrid>
      <w:tr w:rsidR="002C7A36" w:rsidRPr="00E564F8" w:rsidTr="00CF0CD7">
        <w:trPr>
          <w:trHeight w:val="300"/>
          <w:jc w:val="center"/>
        </w:trPr>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No</w:t>
            </w:r>
          </w:p>
        </w:tc>
        <w:tc>
          <w:tcPr>
            <w:tcW w:w="2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Dimensi/Tema</w:t>
            </w:r>
          </w:p>
        </w:tc>
        <w:tc>
          <w:tcPr>
            <w:tcW w:w="89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2014</w:t>
            </w:r>
          </w:p>
        </w:tc>
        <w:tc>
          <w:tcPr>
            <w:tcW w:w="89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2015</w:t>
            </w:r>
          </w:p>
        </w:tc>
        <w:tc>
          <w:tcPr>
            <w:tcW w:w="100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2016</w:t>
            </w:r>
          </w:p>
        </w:tc>
        <w:tc>
          <w:tcPr>
            <w:tcW w:w="100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2017</w:t>
            </w:r>
          </w:p>
        </w:tc>
        <w:tc>
          <w:tcPr>
            <w:tcW w:w="100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2018</w:t>
            </w:r>
          </w:p>
        </w:tc>
        <w:tc>
          <w:tcPr>
            <w:tcW w:w="106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2C7A36" w:rsidRPr="00E564F8" w:rsidRDefault="002C7A36" w:rsidP="00CF0CD7">
            <w:pPr>
              <w:ind w:firstLine="0"/>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Rata2</w:t>
            </w:r>
          </w:p>
        </w:tc>
      </w:tr>
      <w:tr w:rsidR="002C7A36" w:rsidRPr="00E564F8" w:rsidTr="00CF0CD7">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w:t>
            </w:r>
          </w:p>
        </w:tc>
        <w:tc>
          <w:tcPr>
            <w:tcW w:w="2260" w:type="dxa"/>
            <w:tcBorders>
              <w:top w:val="nil"/>
              <w:left w:val="nil"/>
              <w:bottom w:val="single" w:sz="4" w:space="0" w:color="auto"/>
              <w:right w:val="single" w:sz="4" w:space="0" w:color="auto"/>
            </w:tcBorders>
            <w:shd w:val="clear" w:color="auto" w:fill="auto"/>
            <w:hideMark/>
          </w:tcPr>
          <w:p w:rsidR="002C7A36" w:rsidRPr="00E564F8" w:rsidRDefault="002C7A36" w:rsidP="00CF0CD7">
            <w:pPr>
              <w:ind w:firstLine="0"/>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Pendanaan &amp; Investasi</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61,11%</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61,11%</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88,89%</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61,11%</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72,22%</w:t>
            </w:r>
          </w:p>
        </w:tc>
        <w:tc>
          <w:tcPr>
            <w:tcW w:w="1068"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68,89%</w:t>
            </w:r>
          </w:p>
        </w:tc>
      </w:tr>
      <w:tr w:rsidR="002C7A36" w:rsidRPr="00E564F8" w:rsidTr="00CF0CD7">
        <w:trPr>
          <w:trHeight w:val="315"/>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2</w:t>
            </w:r>
          </w:p>
        </w:tc>
        <w:tc>
          <w:tcPr>
            <w:tcW w:w="2260" w:type="dxa"/>
            <w:tcBorders>
              <w:top w:val="nil"/>
              <w:left w:val="nil"/>
              <w:bottom w:val="single" w:sz="4" w:space="0" w:color="auto"/>
              <w:right w:val="single" w:sz="4" w:space="0" w:color="auto"/>
            </w:tcBorders>
            <w:shd w:val="clear" w:color="auto" w:fill="auto"/>
            <w:hideMark/>
          </w:tcPr>
          <w:p w:rsidR="002C7A36" w:rsidRPr="00E564F8" w:rsidRDefault="002C7A36" w:rsidP="00CF0CD7">
            <w:pPr>
              <w:ind w:firstLine="0"/>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Produk &amp; Jasa</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77,78%</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77,78%</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100,00%</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100,00%</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100,00%</w:t>
            </w:r>
          </w:p>
        </w:tc>
        <w:tc>
          <w:tcPr>
            <w:tcW w:w="1068"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91,11%</w:t>
            </w:r>
          </w:p>
        </w:tc>
      </w:tr>
      <w:tr w:rsidR="002C7A36" w:rsidRPr="00E564F8" w:rsidTr="00CF0CD7">
        <w:trPr>
          <w:trHeight w:val="30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3</w:t>
            </w:r>
          </w:p>
        </w:tc>
        <w:tc>
          <w:tcPr>
            <w:tcW w:w="2260" w:type="dxa"/>
            <w:tcBorders>
              <w:top w:val="nil"/>
              <w:left w:val="nil"/>
              <w:bottom w:val="single" w:sz="4" w:space="0" w:color="auto"/>
              <w:right w:val="single" w:sz="4" w:space="0" w:color="auto"/>
            </w:tcBorders>
            <w:shd w:val="clear" w:color="auto" w:fill="auto"/>
            <w:hideMark/>
          </w:tcPr>
          <w:p w:rsidR="002C7A36" w:rsidRPr="00E564F8" w:rsidRDefault="002C7A36" w:rsidP="00CF0CD7">
            <w:pPr>
              <w:ind w:firstLine="0"/>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Karyawan</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56,41%</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71,80%</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79,49%</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56,41%</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79,49%</w:t>
            </w:r>
          </w:p>
        </w:tc>
        <w:tc>
          <w:tcPr>
            <w:tcW w:w="1068"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68,72%</w:t>
            </w:r>
          </w:p>
        </w:tc>
      </w:tr>
      <w:tr w:rsidR="002C7A36" w:rsidRPr="00E564F8" w:rsidTr="00CF0CD7">
        <w:trPr>
          <w:trHeight w:val="33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4</w:t>
            </w:r>
          </w:p>
        </w:tc>
        <w:tc>
          <w:tcPr>
            <w:tcW w:w="2260" w:type="dxa"/>
            <w:tcBorders>
              <w:top w:val="nil"/>
              <w:left w:val="nil"/>
              <w:bottom w:val="single" w:sz="4" w:space="0" w:color="auto"/>
              <w:right w:val="single" w:sz="4" w:space="0" w:color="auto"/>
            </w:tcBorders>
            <w:shd w:val="clear" w:color="auto" w:fill="auto"/>
            <w:hideMark/>
          </w:tcPr>
          <w:p w:rsidR="002C7A36" w:rsidRPr="00E564F8" w:rsidRDefault="002C7A36" w:rsidP="00CF0CD7">
            <w:pPr>
              <w:ind w:firstLine="0"/>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Masyarakat</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60,61%</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75,76%</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81,82%</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90,91%</w:t>
            </w:r>
          </w:p>
        </w:tc>
        <w:tc>
          <w:tcPr>
            <w:tcW w:w="1068"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75,15%</w:t>
            </w:r>
          </w:p>
        </w:tc>
      </w:tr>
      <w:tr w:rsidR="002C7A36" w:rsidRPr="00E564F8" w:rsidTr="00CF0CD7">
        <w:trPr>
          <w:trHeight w:val="360"/>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w:t>
            </w:r>
          </w:p>
        </w:tc>
        <w:tc>
          <w:tcPr>
            <w:tcW w:w="2260" w:type="dxa"/>
            <w:tcBorders>
              <w:top w:val="nil"/>
              <w:left w:val="nil"/>
              <w:bottom w:val="single" w:sz="4" w:space="0" w:color="auto"/>
              <w:right w:val="single" w:sz="4" w:space="0" w:color="auto"/>
            </w:tcBorders>
            <w:shd w:val="clear" w:color="auto" w:fill="auto"/>
            <w:hideMark/>
          </w:tcPr>
          <w:p w:rsidR="002C7A36" w:rsidRPr="00E564F8" w:rsidRDefault="002C7A36" w:rsidP="00CF0CD7">
            <w:pPr>
              <w:ind w:firstLine="0"/>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Lingkungan</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26,67%</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20,00%</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60,00%</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60,00%</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66,67%</w:t>
            </w:r>
          </w:p>
        </w:tc>
        <w:tc>
          <w:tcPr>
            <w:tcW w:w="1068"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46,67%</w:t>
            </w:r>
          </w:p>
        </w:tc>
      </w:tr>
      <w:tr w:rsidR="002C7A36" w:rsidRPr="00E564F8" w:rsidTr="00CF0CD7">
        <w:trPr>
          <w:trHeight w:val="345"/>
          <w:jc w:val="center"/>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w:t>
            </w:r>
          </w:p>
        </w:tc>
        <w:tc>
          <w:tcPr>
            <w:tcW w:w="2260" w:type="dxa"/>
            <w:tcBorders>
              <w:top w:val="nil"/>
              <w:left w:val="nil"/>
              <w:bottom w:val="single" w:sz="4" w:space="0" w:color="auto"/>
              <w:right w:val="single" w:sz="4" w:space="0" w:color="auto"/>
            </w:tcBorders>
            <w:shd w:val="clear" w:color="auto" w:fill="auto"/>
            <w:hideMark/>
          </w:tcPr>
          <w:p w:rsidR="002C7A36" w:rsidRPr="00E564F8" w:rsidRDefault="002C7A36" w:rsidP="00CF0CD7">
            <w:pPr>
              <w:ind w:firstLine="0"/>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Tata Kelola Perusahaan</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60,00%</w:t>
            </w:r>
          </w:p>
        </w:tc>
        <w:tc>
          <w:tcPr>
            <w:tcW w:w="89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93,33%</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100,00%</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88,89%</w:t>
            </w:r>
          </w:p>
        </w:tc>
        <w:tc>
          <w:tcPr>
            <w:tcW w:w="1005" w:type="dxa"/>
            <w:tcBorders>
              <w:top w:val="nil"/>
              <w:left w:val="nil"/>
              <w:bottom w:val="single" w:sz="4" w:space="0" w:color="auto"/>
              <w:right w:val="single" w:sz="4" w:space="0" w:color="auto"/>
            </w:tcBorders>
            <w:shd w:val="clear" w:color="auto" w:fill="auto"/>
            <w:noWrap/>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100,00%</w:t>
            </w:r>
          </w:p>
        </w:tc>
        <w:tc>
          <w:tcPr>
            <w:tcW w:w="1068"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88,44%</w:t>
            </w:r>
          </w:p>
        </w:tc>
      </w:tr>
      <w:tr w:rsidR="002C7A36" w:rsidRPr="00E564F8" w:rsidTr="00CF0CD7">
        <w:trPr>
          <w:trHeight w:val="300"/>
          <w:jc w:val="center"/>
        </w:trPr>
        <w:tc>
          <w:tcPr>
            <w:tcW w:w="485" w:type="dxa"/>
            <w:tcBorders>
              <w:top w:val="nil"/>
              <w:left w:val="nil"/>
              <w:bottom w:val="nil"/>
              <w:right w:val="nil"/>
            </w:tcBorders>
            <w:shd w:val="clear" w:color="auto" w:fill="auto"/>
            <w:noWrap/>
            <w:vAlign w:val="bottom"/>
            <w:hideMark/>
          </w:tcPr>
          <w:p w:rsidR="002C7A36" w:rsidRPr="00E564F8" w:rsidRDefault="002C7A36" w:rsidP="00CF0CD7">
            <w:pPr>
              <w:ind w:firstLine="0"/>
              <w:rPr>
                <w:rFonts w:ascii="Times New Roman" w:eastAsia="Times New Roman" w:hAnsi="Times New Roman" w:cs="Times New Roman"/>
                <w:lang w:eastAsia="id-ID"/>
              </w:rPr>
            </w:pPr>
          </w:p>
        </w:tc>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2C7A36" w:rsidRPr="00E564F8" w:rsidRDefault="002C7A36" w:rsidP="00CF0CD7">
            <w:pPr>
              <w:ind w:firstLine="0"/>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Rata-Rata</w:t>
            </w:r>
          </w:p>
        </w:tc>
        <w:tc>
          <w:tcPr>
            <w:tcW w:w="895"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57,10%</w:t>
            </w:r>
          </w:p>
        </w:tc>
        <w:tc>
          <w:tcPr>
            <w:tcW w:w="895"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65,12%</w:t>
            </w:r>
          </w:p>
        </w:tc>
        <w:tc>
          <w:tcPr>
            <w:tcW w:w="1005"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84,02%</w:t>
            </w:r>
          </w:p>
        </w:tc>
        <w:tc>
          <w:tcPr>
            <w:tcW w:w="1005"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74,71%</w:t>
            </w:r>
          </w:p>
        </w:tc>
        <w:tc>
          <w:tcPr>
            <w:tcW w:w="1005"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84,88%</w:t>
            </w:r>
          </w:p>
        </w:tc>
        <w:tc>
          <w:tcPr>
            <w:tcW w:w="1068" w:type="dxa"/>
            <w:tcBorders>
              <w:top w:val="nil"/>
              <w:left w:val="nil"/>
              <w:bottom w:val="single" w:sz="4" w:space="0" w:color="auto"/>
              <w:right w:val="single" w:sz="4"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73,16%</w:t>
            </w:r>
          </w:p>
        </w:tc>
      </w:tr>
    </w:tbl>
    <w:p w:rsidR="002C7A36" w:rsidRPr="00623B44" w:rsidRDefault="002C7A36" w:rsidP="002C7A36">
      <w:pPr>
        <w:ind w:firstLine="0"/>
        <w:jc w:val="center"/>
        <w:rPr>
          <w:rFonts w:ascii="Times New Roman" w:hAnsi="Times New Roman" w:cs="Times New Roman"/>
          <w:sz w:val="20"/>
          <w:szCs w:val="20"/>
        </w:rPr>
      </w:pPr>
      <w:r w:rsidRPr="00623B44">
        <w:rPr>
          <w:rFonts w:ascii="Times New Roman" w:hAnsi="Times New Roman" w:cs="Times New Roman"/>
          <w:sz w:val="20"/>
          <w:szCs w:val="20"/>
        </w:rPr>
        <w:t>(Sumber: annual report perbankan syariah, data diolah, 2020)</w:t>
      </w:r>
    </w:p>
    <w:p w:rsidR="002C7A36" w:rsidRDefault="002C7A36" w:rsidP="002C7A36">
      <w:pPr>
        <w:ind w:firstLine="0"/>
        <w:rPr>
          <w:rFonts w:ascii="Times New Roman" w:hAnsi="Times New Roman" w:cs="Times New Roman"/>
        </w:rPr>
      </w:pPr>
    </w:p>
    <w:p w:rsidR="002C7A36" w:rsidRPr="00E564F8" w:rsidRDefault="002C7A36" w:rsidP="002C7A36">
      <w:pPr>
        <w:ind w:firstLine="0"/>
        <w:rPr>
          <w:rFonts w:ascii="Times New Roman" w:hAnsi="Times New Roman" w:cs="Times New Roman"/>
        </w:rPr>
      </w:pPr>
    </w:p>
    <w:p w:rsidR="002C7A36" w:rsidRPr="00E564F8" w:rsidRDefault="002C7A36" w:rsidP="002C7A36">
      <w:pPr>
        <w:ind w:firstLine="0"/>
        <w:rPr>
          <w:rFonts w:ascii="Times New Roman" w:hAnsi="Times New Roman" w:cs="Times New Roman"/>
          <w:b/>
          <w:bCs/>
        </w:rPr>
      </w:pPr>
      <w:r w:rsidRPr="00E564F8">
        <w:rPr>
          <w:rFonts w:ascii="Times New Roman" w:hAnsi="Times New Roman" w:cs="Times New Roman"/>
          <w:b/>
          <w:bCs/>
        </w:rPr>
        <w:t>Tabel 9. Rata-Rata Indeks ISR berdasarkan Urutan Predikat Perbankan Syariah</w:t>
      </w:r>
    </w:p>
    <w:p w:rsidR="002C7A36" w:rsidRPr="00E564F8" w:rsidRDefault="002C7A36" w:rsidP="002C7A36">
      <w:pPr>
        <w:ind w:firstLine="0"/>
        <w:jc w:val="both"/>
        <w:rPr>
          <w:rFonts w:ascii="Times New Roman" w:hAnsi="Times New Roman" w:cs="Times New Roman"/>
        </w:rPr>
      </w:pPr>
    </w:p>
    <w:tbl>
      <w:tblPr>
        <w:tblW w:w="6773" w:type="dxa"/>
        <w:jc w:val="center"/>
        <w:tblInd w:w="91" w:type="dxa"/>
        <w:tblLook w:val="04A0"/>
      </w:tblPr>
      <w:tblGrid>
        <w:gridCol w:w="1403"/>
        <w:gridCol w:w="895"/>
        <w:gridCol w:w="895"/>
        <w:gridCol w:w="895"/>
        <w:gridCol w:w="895"/>
        <w:gridCol w:w="895"/>
        <w:gridCol w:w="895"/>
      </w:tblGrid>
      <w:tr w:rsidR="002C7A36" w:rsidRPr="00E564F8" w:rsidTr="00CF0CD7">
        <w:trPr>
          <w:trHeight w:val="315"/>
          <w:jc w:val="center"/>
        </w:trPr>
        <w:tc>
          <w:tcPr>
            <w:tcW w:w="1403" w:type="dxa"/>
            <w:tcBorders>
              <w:top w:val="single" w:sz="8" w:space="0" w:color="000000"/>
              <w:left w:val="single" w:sz="8" w:space="0" w:color="000000"/>
              <w:bottom w:val="single" w:sz="8" w:space="0" w:color="000000"/>
              <w:right w:val="single" w:sz="8" w:space="0" w:color="000000"/>
            </w:tcBorders>
            <w:shd w:val="clear" w:color="auto" w:fill="auto"/>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Bank/Tahun</w:t>
            </w:r>
          </w:p>
        </w:tc>
        <w:tc>
          <w:tcPr>
            <w:tcW w:w="895" w:type="dxa"/>
            <w:tcBorders>
              <w:top w:val="single" w:sz="8" w:space="0" w:color="000000"/>
              <w:left w:val="nil"/>
              <w:bottom w:val="single" w:sz="8" w:space="0" w:color="000000"/>
              <w:right w:val="single" w:sz="8" w:space="0" w:color="000000"/>
            </w:tcBorders>
            <w:shd w:val="clear" w:color="auto" w:fill="auto"/>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2014</w:t>
            </w:r>
          </w:p>
        </w:tc>
        <w:tc>
          <w:tcPr>
            <w:tcW w:w="895" w:type="dxa"/>
            <w:tcBorders>
              <w:top w:val="single" w:sz="8" w:space="0" w:color="000000"/>
              <w:left w:val="nil"/>
              <w:bottom w:val="single" w:sz="8" w:space="0" w:color="000000"/>
              <w:right w:val="single" w:sz="8" w:space="0" w:color="000000"/>
            </w:tcBorders>
            <w:shd w:val="clear" w:color="auto" w:fill="auto"/>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2015</w:t>
            </w:r>
          </w:p>
        </w:tc>
        <w:tc>
          <w:tcPr>
            <w:tcW w:w="895" w:type="dxa"/>
            <w:tcBorders>
              <w:top w:val="single" w:sz="8" w:space="0" w:color="000000"/>
              <w:left w:val="nil"/>
              <w:bottom w:val="single" w:sz="8" w:space="0" w:color="000000"/>
              <w:right w:val="single" w:sz="8" w:space="0" w:color="000000"/>
            </w:tcBorders>
            <w:shd w:val="clear" w:color="auto" w:fill="auto"/>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2016</w:t>
            </w:r>
          </w:p>
        </w:tc>
        <w:tc>
          <w:tcPr>
            <w:tcW w:w="895" w:type="dxa"/>
            <w:tcBorders>
              <w:top w:val="single" w:sz="8" w:space="0" w:color="000000"/>
              <w:left w:val="nil"/>
              <w:bottom w:val="single" w:sz="8" w:space="0" w:color="000000"/>
              <w:right w:val="single" w:sz="8" w:space="0" w:color="000000"/>
            </w:tcBorders>
            <w:shd w:val="clear" w:color="auto" w:fill="auto"/>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2017</w:t>
            </w:r>
          </w:p>
        </w:tc>
        <w:tc>
          <w:tcPr>
            <w:tcW w:w="895" w:type="dxa"/>
            <w:tcBorders>
              <w:top w:val="single" w:sz="8" w:space="0" w:color="000000"/>
              <w:left w:val="nil"/>
              <w:bottom w:val="single" w:sz="8" w:space="0" w:color="000000"/>
              <w:right w:val="nil"/>
            </w:tcBorders>
            <w:shd w:val="clear" w:color="auto" w:fill="auto"/>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2018</w:t>
            </w:r>
          </w:p>
        </w:tc>
        <w:tc>
          <w:tcPr>
            <w:tcW w:w="89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b/>
                <w:bCs/>
                <w:lang w:eastAsia="id-ID"/>
              </w:rPr>
            </w:pPr>
            <w:r w:rsidRPr="00E564F8">
              <w:rPr>
                <w:rFonts w:ascii="Times New Roman" w:eastAsia="Times New Roman" w:hAnsi="Times New Roman" w:cs="Times New Roman"/>
                <w:b/>
                <w:bCs/>
                <w:lang w:eastAsia="id-ID"/>
              </w:rPr>
              <w:t>Rata2</w:t>
            </w:r>
          </w:p>
        </w:tc>
      </w:tr>
      <w:tr w:rsidR="002C7A36" w:rsidRPr="00E564F8" w:rsidTr="00CF0CD7">
        <w:trPr>
          <w:trHeight w:val="315"/>
          <w:jc w:val="center"/>
        </w:trPr>
        <w:tc>
          <w:tcPr>
            <w:tcW w:w="1403" w:type="dxa"/>
            <w:tcBorders>
              <w:top w:val="nil"/>
              <w:left w:val="single" w:sz="8" w:space="0" w:color="000000"/>
              <w:bottom w:val="single" w:sz="8" w:space="0" w:color="000000"/>
              <w:right w:val="single" w:sz="8" w:space="0" w:color="000000"/>
            </w:tcBorders>
            <w:shd w:val="clear" w:color="auto" w:fill="auto"/>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BNIS</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52,95%</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65,48%</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85,19%</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80,90%</w:t>
            </w:r>
          </w:p>
        </w:tc>
        <w:tc>
          <w:tcPr>
            <w:tcW w:w="895" w:type="dxa"/>
            <w:tcBorders>
              <w:top w:val="nil"/>
              <w:left w:val="nil"/>
              <w:bottom w:val="single" w:sz="8" w:space="0" w:color="000000"/>
              <w:right w:val="nil"/>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87,01%</w:t>
            </w:r>
          </w:p>
        </w:tc>
        <w:tc>
          <w:tcPr>
            <w:tcW w:w="895" w:type="dxa"/>
            <w:tcBorders>
              <w:top w:val="nil"/>
              <w:left w:val="single" w:sz="8" w:space="0" w:color="auto"/>
              <w:bottom w:val="nil"/>
              <w:right w:val="single" w:sz="8" w:space="0" w:color="auto"/>
            </w:tcBorders>
            <w:shd w:val="clear" w:color="auto" w:fill="auto"/>
            <w:noWrap/>
            <w:vAlign w:val="bottom"/>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74,31%</w:t>
            </w:r>
          </w:p>
        </w:tc>
      </w:tr>
      <w:tr w:rsidR="002C7A36" w:rsidRPr="00E564F8" w:rsidTr="00CF0CD7">
        <w:trPr>
          <w:trHeight w:val="315"/>
          <w:jc w:val="center"/>
        </w:trPr>
        <w:tc>
          <w:tcPr>
            <w:tcW w:w="1403" w:type="dxa"/>
            <w:tcBorders>
              <w:top w:val="nil"/>
              <w:left w:val="single" w:sz="8" w:space="0" w:color="000000"/>
              <w:bottom w:val="single" w:sz="8" w:space="0" w:color="000000"/>
              <w:right w:val="single" w:sz="8" w:space="0" w:color="000000"/>
            </w:tcBorders>
            <w:shd w:val="clear" w:color="auto" w:fill="auto"/>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BSM</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69,20%</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74,56%</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83,12%</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79,62%</w:t>
            </w:r>
          </w:p>
        </w:tc>
        <w:tc>
          <w:tcPr>
            <w:tcW w:w="895" w:type="dxa"/>
            <w:tcBorders>
              <w:top w:val="nil"/>
              <w:left w:val="nil"/>
              <w:bottom w:val="single" w:sz="8" w:space="0" w:color="000000"/>
              <w:right w:val="nil"/>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77,59%</w:t>
            </w:r>
          </w:p>
        </w:tc>
        <w:tc>
          <w:tcPr>
            <w:tcW w:w="89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76,82%</w:t>
            </w:r>
          </w:p>
        </w:tc>
      </w:tr>
      <w:tr w:rsidR="002C7A36" w:rsidRPr="00E564F8" w:rsidTr="00CF0CD7">
        <w:trPr>
          <w:trHeight w:val="315"/>
          <w:jc w:val="center"/>
        </w:trPr>
        <w:tc>
          <w:tcPr>
            <w:tcW w:w="1403" w:type="dxa"/>
            <w:tcBorders>
              <w:top w:val="nil"/>
              <w:left w:val="single" w:sz="8" w:space="0" w:color="000000"/>
              <w:bottom w:val="single" w:sz="8" w:space="0" w:color="000000"/>
              <w:right w:val="single" w:sz="8" w:space="0" w:color="000000"/>
            </w:tcBorders>
            <w:shd w:val="clear" w:color="auto" w:fill="auto"/>
            <w:hideMark/>
          </w:tcPr>
          <w:p w:rsidR="002C7A36" w:rsidRPr="00E564F8" w:rsidRDefault="002C7A36" w:rsidP="00CF0CD7">
            <w:pPr>
              <w:ind w:firstLine="0"/>
              <w:jc w:val="center"/>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BRIS</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49,14%</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55,31%</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83,75%</w:t>
            </w:r>
          </w:p>
        </w:tc>
        <w:tc>
          <w:tcPr>
            <w:tcW w:w="895" w:type="dxa"/>
            <w:tcBorders>
              <w:top w:val="nil"/>
              <w:left w:val="nil"/>
              <w:bottom w:val="single" w:sz="8" w:space="0" w:color="000000"/>
              <w:right w:val="single" w:sz="8" w:space="0" w:color="000000"/>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63,60%</w:t>
            </w:r>
          </w:p>
        </w:tc>
        <w:tc>
          <w:tcPr>
            <w:tcW w:w="895" w:type="dxa"/>
            <w:tcBorders>
              <w:top w:val="nil"/>
              <w:left w:val="nil"/>
              <w:bottom w:val="single" w:sz="8" w:space="0" w:color="000000"/>
              <w:right w:val="nil"/>
            </w:tcBorders>
            <w:shd w:val="clear" w:color="auto" w:fill="auto"/>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90,04%</w:t>
            </w:r>
          </w:p>
        </w:tc>
        <w:tc>
          <w:tcPr>
            <w:tcW w:w="895" w:type="dxa"/>
            <w:tcBorders>
              <w:top w:val="nil"/>
              <w:left w:val="single" w:sz="8" w:space="0" w:color="auto"/>
              <w:bottom w:val="single" w:sz="8" w:space="0" w:color="auto"/>
              <w:right w:val="single" w:sz="8" w:space="0" w:color="auto"/>
            </w:tcBorders>
            <w:shd w:val="clear" w:color="auto" w:fill="auto"/>
            <w:noWrap/>
            <w:vAlign w:val="bottom"/>
            <w:hideMark/>
          </w:tcPr>
          <w:p w:rsidR="002C7A36" w:rsidRPr="00E564F8" w:rsidRDefault="002C7A36" w:rsidP="00CF0CD7">
            <w:pPr>
              <w:ind w:firstLine="0"/>
              <w:jc w:val="right"/>
              <w:rPr>
                <w:rFonts w:ascii="Times New Roman" w:eastAsia="Times New Roman" w:hAnsi="Times New Roman" w:cs="Times New Roman"/>
                <w:lang w:eastAsia="id-ID"/>
              </w:rPr>
            </w:pPr>
            <w:r w:rsidRPr="00E564F8">
              <w:rPr>
                <w:rFonts w:ascii="Times New Roman" w:eastAsia="Times New Roman" w:hAnsi="Times New Roman" w:cs="Times New Roman"/>
                <w:lang w:eastAsia="id-ID"/>
              </w:rPr>
              <w:t>68,37%</w:t>
            </w:r>
          </w:p>
        </w:tc>
      </w:tr>
    </w:tbl>
    <w:p w:rsidR="002C7A36" w:rsidRPr="00623B44" w:rsidRDefault="002C7A36" w:rsidP="002C7A36">
      <w:pPr>
        <w:ind w:firstLine="0"/>
        <w:jc w:val="center"/>
        <w:rPr>
          <w:rFonts w:ascii="Times New Roman" w:hAnsi="Times New Roman" w:cs="Times New Roman"/>
          <w:sz w:val="20"/>
          <w:szCs w:val="20"/>
        </w:rPr>
      </w:pPr>
      <w:r w:rsidRPr="00623B44">
        <w:rPr>
          <w:rFonts w:ascii="Times New Roman" w:hAnsi="Times New Roman" w:cs="Times New Roman"/>
          <w:sz w:val="20"/>
          <w:szCs w:val="20"/>
        </w:rPr>
        <w:t>(Sumber: annual report perbankan syariah, data diolah, 2020)</w:t>
      </w:r>
    </w:p>
    <w:p w:rsidR="002C7A36" w:rsidRPr="00E564F8" w:rsidRDefault="002C7A36" w:rsidP="002C7A36">
      <w:pPr>
        <w:ind w:firstLine="0"/>
        <w:rPr>
          <w:rFonts w:ascii="Times New Roman" w:hAnsi="Times New Roman" w:cs="Times New Roman"/>
        </w:rPr>
      </w:pPr>
    </w:p>
    <w:p w:rsidR="00333BC0" w:rsidRDefault="00C31CBA"/>
    <w:sectPr w:rsidR="00333BC0" w:rsidSect="002C7A36">
      <w:headerReference w:type="default" r:id="rId6"/>
      <w:pgSz w:w="11906" w:h="16838" w:code="9"/>
      <w:pgMar w:top="1418"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CBA" w:rsidRDefault="00C31CBA" w:rsidP="002C7A36">
      <w:r>
        <w:separator/>
      </w:r>
    </w:p>
  </w:endnote>
  <w:endnote w:type="continuationSeparator" w:id="1">
    <w:p w:rsidR="00C31CBA" w:rsidRDefault="00C31CBA" w:rsidP="002C7A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CBA" w:rsidRDefault="00C31CBA" w:rsidP="002C7A36">
      <w:r>
        <w:separator/>
      </w:r>
    </w:p>
  </w:footnote>
  <w:footnote w:type="continuationSeparator" w:id="1">
    <w:p w:rsidR="00C31CBA" w:rsidRDefault="00C31CBA" w:rsidP="002C7A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36F" w:rsidRPr="00F21E83" w:rsidRDefault="00C31CBA" w:rsidP="00F21E83">
    <w:pPr>
      <w:pStyle w:val="Header"/>
      <w:ind w:firstLine="0"/>
      <w:rPr>
        <w:i/>
        <w:iC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C7A36"/>
    <w:rsid w:val="00083F76"/>
    <w:rsid w:val="002541C7"/>
    <w:rsid w:val="002C7A36"/>
    <w:rsid w:val="00653F31"/>
    <w:rsid w:val="00741F58"/>
    <w:rsid w:val="00C31CBA"/>
    <w:rsid w:val="00CA4F5C"/>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ind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A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C7A36"/>
    <w:pPr>
      <w:tabs>
        <w:tab w:val="center" w:pos="4513"/>
        <w:tab w:val="right" w:pos="9026"/>
      </w:tabs>
    </w:pPr>
  </w:style>
  <w:style w:type="character" w:customStyle="1" w:styleId="HeaderChar">
    <w:name w:val="Header Char"/>
    <w:basedOn w:val="DefaultParagraphFont"/>
    <w:link w:val="Header"/>
    <w:uiPriority w:val="99"/>
    <w:semiHidden/>
    <w:rsid w:val="002C7A36"/>
  </w:style>
  <w:style w:type="paragraph" w:styleId="Footer">
    <w:name w:val="footer"/>
    <w:basedOn w:val="Normal"/>
    <w:link w:val="FooterChar"/>
    <w:uiPriority w:val="99"/>
    <w:unhideWhenUsed/>
    <w:rsid w:val="002C7A36"/>
    <w:pPr>
      <w:tabs>
        <w:tab w:val="center" w:pos="4513"/>
        <w:tab w:val="right" w:pos="9026"/>
      </w:tabs>
    </w:pPr>
  </w:style>
  <w:style w:type="character" w:customStyle="1" w:styleId="FooterChar">
    <w:name w:val="Footer Char"/>
    <w:basedOn w:val="DefaultParagraphFont"/>
    <w:link w:val="Footer"/>
    <w:uiPriority w:val="99"/>
    <w:rsid w:val="002C7A36"/>
  </w:style>
  <w:style w:type="table" w:styleId="TableGrid">
    <w:name w:val="Table Grid"/>
    <w:basedOn w:val="TableNormal"/>
    <w:uiPriority w:val="59"/>
    <w:rsid w:val="002C7A3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727</Words>
  <Characters>4148</Characters>
  <Application>Microsoft Office Word</Application>
  <DocSecurity>0</DocSecurity>
  <Lines>34</Lines>
  <Paragraphs>9</Paragraphs>
  <ScaleCrop>false</ScaleCrop>
  <Company/>
  <LinksUpToDate>false</LinksUpToDate>
  <CharactersWithSpaces>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2020-09-20T05:22:00Z</dcterms:created>
  <dcterms:modified xsi:type="dcterms:W3CDTF">2020-09-20T05:24:00Z</dcterms:modified>
</cp:coreProperties>
</file>