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172" w:rsidRPr="00353F38" w:rsidRDefault="00353F38" w:rsidP="004B7814">
      <w:pPr>
        <w:pStyle w:val="Title"/>
        <w:tabs>
          <w:tab w:val="left" w:pos="-5400"/>
          <w:tab w:val="left" w:pos="-3330"/>
        </w:tabs>
        <w:rPr>
          <w:i/>
          <w:iCs/>
          <w:sz w:val="24"/>
        </w:rPr>
      </w:pPr>
      <w:r>
        <w:rPr>
          <w:sz w:val="24"/>
        </w:rPr>
        <w:t xml:space="preserve">Analisis Fundamental Terhadap Harga Saham yang Terdaftar di Jakarta </w:t>
      </w:r>
      <w:r w:rsidRPr="00353F38">
        <w:rPr>
          <w:i/>
          <w:iCs/>
          <w:sz w:val="24"/>
        </w:rPr>
        <w:t>Islamic Index</w:t>
      </w:r>
      <w:r>
        <w:rPr>
          <w:sz w:val="24"/>
        </w:rPr>
        <w:t xml:space="preserve"> Tahun 2010-2017</w:t>
      </w:r>
    </w:p>
    <w:p w:rsidR="00D73172" w:rsidRDefault="00D73172" w:rsidP="00D73172">
      <w:pPr>
        <w:jc w:val="center"/>
        <w:rPr>
          <w:b/>
          <w:sz w:val="28"/>
        </w:rPr>
      </w:pPr>
    </w:p>
    <w:p w:rsidR="00353F38" w:rsidRDefault="00353F38" w:rsidP="00353F38">
      <w:pPr>
        <w:jc w:val="center"/>
        <w:rPr>
          <w:b/>
          <w:sz w:val="20"/>
        </w:rPr>
      </w:pPr>
      <w:r>
        <w:rPr>
          <w:b/>
          <w:sz w:val="20"/>
        </w:rPr>
        <w:t>Annisa Masruri Zaimsyah</w:t>
      </w:r>
      <w:r w:rsidR="00D73172">
        <w:rPr>
          <w:b/>
          <w:sz w:val="20"/>
          <w:vertAlign w:val="superscript"/>
        </w:rPr>
        <w:t>1)</w:t>
      </w:r>
      <w:proofErr w:type="gramStart"/>
      <w:r w:rsidR="00D73172">
        <w:rPr>
          <w:b/>
          <w:sz w:val="20"/>
        </w:rPr>
        <w:t xml:space="preserve">, </w:t>
      </w:r>
      <w:r w:rsidR="00F7073A">
        <w:rPr>
          <w:b/>
          <w:sz w:val="20"/>
        </w:rPr>
        <w:t xml:space="preserve"> </w:t>
      </w:r>
      <w:r>
        <w:rPr>
          <w:b/>
          <w:sz w:val="20"/>
        </w:rPr>
        <w:t>Najiatun</w:t>
      </w:r>
      <w:r w:rsidR="00D73172">
        <w:rPr>
          <w:b/>
          <w:sz w:val="20"/>
          <w:vertAlign w:val="superscript"/>
        </w:rPr>
        <w:t>2</w:t>
      </w:r>
      <w:proofErr w:type="gramEnd"/>
      <w:r w:rsidR="00D73172">
        <w:rPr>
          <w:b/>
          <w:sz w:val="20"/>
          <w:vertAlign w:val="superscript"/>
        </w:rPr>
        <w:t>)</w:t>
      </w:r>
      <w:r w:rsidR="00F7073A">
        <w:rPr>
          <w:b/>
          <w:sz w:val="20"/>
          <w:vertAlign w:val="superscript"/>
        </w:rPr>
        <w:t xml:space="preserve"> </w:t>
      </w:r>
    </w:p>
    <w:p w:rsidR="00D73172" w:rsidRDefault="00D73172" w:rsidP="00353F38">
      <w:pPr>
        <w:jc w:val="center"/>
        <w:rPr>
          <w:sz w:val="20"/>
        </w:rPr>
      </w:pPr>
      <w:r>
        <w:rPr>
          <w:sz w:val="20"/>
          <w:vertAlign w:val="superscript"/>
        </w:rPr>
        <w:t>1</w:t>
      </w:r>
      <w:r>
        <w:rPr>
          <w:sz w:val="20"/>
        </w:rPr>
        <w:t>Fakultas</w:t>
      </w:r>
      <w:r w:rsidR="00353F38">
        <w:rPr>
          <w:sz w:val="20"/>
        </w:rPr>
        <w:t xml:space="preserve"> Ekonomi dan Bisnis</w:t>
      </w:r>
      <w:r>
        <w:rPr>
          <w:sz w:val="20"/>
        </w:rPr>
        <w:t xml:space="preserve">, </w:t>
      </w:r>
      <w:r w:rsidR="00353F38">
        <w:rPr>
          <w:sz w:val="20"/>
        </w:rPr>
        <w:t>Universitas Airlangga</w:t>
      </w:r>
    </w:p>
    <w:p w:rsidR="00D73172" w:rsidRDefault="004B7814" w:rsidP="00353F38">
      <w:pPr>
        <w:pStyle w:val="PageNumber1"/>
        <w:rPr>
          <w:rFonts w:ascii="Times New Roman" w:hAnsi="Times New Roman"/>
          <w:sz w:val="20"/>
        </w:rPr>
      </w:pPr>
      <w:r>
        <w:rPr>
          <w:rFonts w:ascii="Times New Roman" w:hAnsi="Times New Roman"/>
          <w:sz w:val="20"/>
          <w:lang w:val="id-ID"/>
        </w:rPr>
        <w:t>E-</w:t>
      </w:r>
      <w:r w:rsidR="00D73172">
        <w:rPr>
          <w:rFonts w:ascii="Times New Roman" w:hAnsi="Times New Roman"/>
          <w:sz w:val="20"/>
        </w:rPr>
        <w:t xml:space="preserve">mail: </w:t>
      </w:r>
      <w:hyperlink r:id="rId8" w:history="1">
        <w:r w:rsidR="00353F38" w:rsidRPr="00BC6867">
          <w:rPr>
            <w:rStyle w:val="Hyperlink"/>
            <w:rFonts w:ascii="Times New Roman" w:hAnsi="Times New Roman"/>
            <w:sz w:val="20"/>
          </w:rPr>
          <w:t>annisa.masruri.zaimsyah-2018@pasca.uair.ac.id</w:t>
        </w:r>
      </w:hyperlink>
      <w:r w:rsidR="00353F38">
        <w:rPr>
          <w:rFonts w:ascii="Times New Roman" w:hAnsi="Times New Roman"/>
          <w:sz w:val="20"/>
        </w:rPr>
        <w:t xml:space="preserve"> </w:t>
      </w:r>
    </w:p>
    <w:p w:rsidR="00D73172" w:rsidRDefault="00D73172" w:rsidP="00353F38">
      <w:pPr>
        <w:jc w:val="center"/>
        <w:rPr>
          <w:sz w:val="20"/>
        </w:rPr>
      </w:pPr>
      <w:r>
        <w:rPr>
          <w:sz w:val="20"/>
          <w:vertAlign w:val="superscript"/>
        </w:rPr>
        <w:t>2</w:t>
      </w:r>
      <w:r w:rsidR="00353F38">
        <w:rPr>
          <w:sz w:val="20"/>
        </w:rPr>
        <w:t>Fakultas Ekonomi dan Bisnis</w:t>
      </w:r>
      <w:r w:rsidR="0099047D">
        <w:rPr>
          <w:sz w:val="20"/>
        </w:rPr>
        <w:t xml:space="preserve">, </w:t>
      </w:r>
      <w:r w:rsidR="00353F38">
        <w:rPr>
          <w:sz w:val="20"/>
        </w:rPr>
        <w:t>Universitas Airlangga</w:t>
      </w:r>
    </w:p>
    <w:p w:rsidR="00D73172" w:rsidRDefault="004B7814" w:rsidP="00353F38">
      <w:pPr>
        <w:pStyle w:val="PageNumber1"/>
        <w:rPr>
          <w:rFonts w:ascii="Times New Roman" w:hAnsi="Times New Roman"/>
          <w:sz w:val="20"/>
        </w:rPr>
      </w:pPr>
      <w:r>
        <w:rPr>
          <w:rFonts w:ascii="Times New Roman" w:hAnsi="Times New Roman"/>
          <w:sz w:val="20"/>
          <w:lang w:val="id-ID"/>
        </w:rPr>
        <w:t>E-</w:t>
      </w:r>
      <w:r w:rsidR="00353F38">
        <w:rPr>
          <w:rFonts w:ascii="Times New Roman" w:hAnsi="Times New Roman"/>
          <w:sz w:val="20"/>
        </w:rPr>
        <w:t>mail:</w:t>
      </w:r>
      <w:r w:rsidR="00355797">
        <w:rPr>
          <w:rFonts w:ascii="Times New Roman" w:hAnsi="Times New Roman"/>
          <w:sz w:val="20"/>
        </w:rPr>
        <w:t xml:space="preserve"> </w:t>
      </w:r>
      <w:hyperlink r:id="rId9" w:history="1">
        <w:r w:rsidR="00355797" w:rsidRPr="00BC6867">
          <w:rPr>
            <w:rStyle w:val="Hyperlink"/>
            <w:rFonts w:ascii="Times New Roman" w:hAnsi="Times New Roman"/>
            <w:sz w:val="20"/>
          </w:rPr>
          <w:t>najiatun-2018@pasca.unair.ac.id</w:t>
        </w:r>
      </w:hyperlink>
      <w:r w:rsidR="00355797">
        <w:rPr>
          <w:rFonts w:ascii="Times New Roman" w:hAnsi="Times New Roman"/>
          <w:sz w:val="20"/>
        </w:rPr>
        <w:t xml:space="preserve"> </w:t>
      </w:r>
      <w:bookmarkStart w:id="0" w:name="_GoBack"/>
      <w:bookmarkEnd w:id="0"/>
    </w:p>
    <w:p w:rsidR="00D73172" w:rsidRDefault="00D73172" w:rsidP="00D73172">
      <w:pPr>
        <w:rPr>
          <w:b/>
        </w:rPr>
      </w:pPr>
    </w:p>
    <w:p w:rsidR="00D73172" w:rsidRPr="005B722D" w:rsidRDefault="00D73172" w:rsidP="00353F38">
      <w:pPr>
        <w:spacing w:after="120"/>
        <w:jc w:val="center"/>
        <w:rPr>
          <w:b/>
          <w:i/>
          <w:sz w:val="22"/>
          <w:szCs w:val="22"/>
        </w:rPr>
      </w:pPr>
      <w:r w:rsidRPr="005B722D">
        <w:rPr>
          <w:b/>
          <w:i/>
          <w:sz w:val="22"/>
          <w:szCs w:val="22"/>
        </w:rPr>
        <w:t>A</w:t>
      </w:r>
      <w:r>
        <w:rPr>
          <w:b/>
          <w:i/>
          <w:sz w:val="22"/>
          <w:szCs w:val="22"/>
        </w:rPr>
        <w:t>bstract</w:t>
      </w:r>
    </w:p>
    <w:p w:rsidR="00353F38" w:rsidRPr="00353F38" w:rsidRDefault="00353F38" w:rsidP="00353F38">
      <w:pPr>
        <w:autoSpaceDE w:val="0"/>
        <w:autoSpaceDN w:val="0"/>
        <w:adjustRightInd w:val="0"/>
        <w:jc w:val="both"/>
        <w:rPr>
          <w:i/>
          <w:iCs/>
          <w:sz w:val="22"/>
          <w:szCs w:val="22"/>
        </w:rPr>
      </w:pPr>
      <w:r w:rsidRPr="00353F38">
        <w:rPr>
          <w:rFonts w:asciiTheme="majorBidi" w:hAnsiTheme="majorBidi" w:cstheme="majorBidi"/>
          <w:i/>
          <w:iCs/>
          <w:sz w:val="22"/>
          <w:szCs w:val="22"/>
        </w:rPr>
        <w:t xml:space="preserve">This study discusse the influence Book Value (BV), </w:t>
      </w:r>
      <w:r w:rsidRPr="00353F38">
        <w:rPr>
          <w:i/>
          <w:sz w:val="22"/>
          <w:szCs w:val="22"/>
        </w:rPr>
        <w:t xml:space="preserve">Price Book Value </w:t>
      </w:r>
      <w:r w:rsidRPr="00353F38">
        <w:rPr>
          <w:sz w:val="22"/>
          <w:szCs w:val="22"/>
        </w:rPr>
        <w:t xml:space="preserve">(PBV), </w:t>
      </w:r>
      <w:r w:rsidRPr="00353F38">
        <w:rPr>
          <w:i/>
          <w:iCs/>
          <w:sz w:val="22"/>
          <w:szCs w:val="22"/>
        </w:rPr>
        <w:t xml:space="preserve">Earning Per Share (EPS) Debt to Equity Ratio (DER), Price to Equity (PER) and Share prices of companies listed on the Jakarta Islamic index (JII). </w:t>
      </w:r>
      <w:r w:rsidR="00E62A24">
        <w:rPr>
          <w:i/>
          <w:iCs/>
          <w:sz w:val="22"/>
          <w:szCs w:val="22"/>
        </w:rPr>
        <w:t xml:space="preserve">JII chosen because this index is a sharia index with good fundamental character, large capitalization and risk. </w:t>
      </w:r>
      <w:r w:rsidRPr="00353F38">
        <w:rPr>
          <w:i/>
          <w:iCs/>
          <w:sz w:val="22"/>
          <w:szCs w:val="22"/>
        </w:rPr>
        <w:t>The data used this research is secondary data from the financial stetements of the companys that became the sample of the research from the official website Indonesia Stock Exchange. Sampel this research to 18 companys period 2013-2017. The resul</w:t>
      </w:r>
      <w:r w:rsidR="00305883">
        <w:rPr>
          <w:i/>
          <w:iCs/>
          <w:sz w:val="22"/>
          <w:szCs w:val="22"/>
        </w:rPr>
        <w:t>ts show that variable BV and DER</w:t>
      </w:r>
      <w:r w:rsidRPr="00353F38">
        <w:rPr>
          <w:i/>
          <w:iCs/>
          <w:sz w:val="22"/>
          <w:szCs w:val="22"/>
        </w:rPr>
        <w:t xml:space="preserve"> does not affect stock pric</w:t>
      </w:r>
      <w:r w:rsidR="00305883">
        <w:rPr>
          <w:i/>
          <w:iCs/>
          <w:sz w:val="22"/>
          <w:szCs w:val="22"/>
        </w:rPr>
        <w:t>es but variable PBV, EPS and PER</w:t>
      </w:r>
      <w:r w:rsidRPr="00353F38">
        <w:rPr>
          <w:i/>
          <w:iCs/>
          <w:sz w:val="22"/>
          <w:szCs w:val="22"/>
        </w:rPr>
        <w:t xml:space="preserve"> effect on stock prices</w:t>
      </w:r>
    </w:p>
    <w:p w:rsidR="00D73172" w:rsidRPr="005B722D" w:rsidRDefault="00D73172" w:rsidP="00353F38">
      <w:pPr>
        <w:autoSpaceDE w:val="0"/>
        <w:rPr>
          <w:b/>
          <w:i/>
          <w:sz w:val="22"/>
          <w:szCs w:val="22"/>
        </w:rPr>
      </w:pPr>
    </w:p>
    <w:p w:rsidR="00E62A24" w:rsidRPr="00E62A24" w:rsidRDefault="00D73172" w:rsidP="001C0C46">
      <w:pPr>
        <w:autoSpaceDE w:val="0"/>
        <w:spacing w:after="120"/>
        <w:ind w:left="1080" w:right="14" w:hanging="1080"/>
        <w:rPr>
          <w:bCs/>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E62A24">
        <w:rPr>
          <w:bCs/>
          <w:i/>
          <w:sz w:val="22"/>
          <w:szCs w:val="22"/>
        </w:rPr>
        <w:t>Fundamenta</w:t>
      </w:r>
      <w:r w:rsidR="001C0C46">
        <w:rPr>
          <w:bCs/>
          <w:i/>
          <w:sz w:val="22"/>
          <w:szCs w:val="22"/>
        </w:rPr>
        <w:t>l Anlysis</w:t>
      </w:r>
      <w:r w:rsidR="00E62A24">
        <w:rPr>
          <w:bCs/>
          <w:i/>
          <w:sz w:val="22"/>
          <w:szCs w:val="22"/>
        </w:rPr>
        <w:t xml:space="preserve">, </w:t>
      </w:r>
      <w:r w:rsidR="001C0C46">
        <w:rPr>
          <w:bCs/>
          <w:i/>
          <w:sz w:val="22"/>
          <w:szCs w:val="22"/>
        </w:rPr>
        <w:t>Stock Price</w:t>
      </w:r>
      <w:r w:rsidR="00E62A24">
        <w:rPr>
          <w:bCs/>
          <w:i/>
          <w:sz w:val="22"/>
          <w:szCs w:val="22"/>
        </w:rPr>
        <w:t>, JII</w:t>
      </w:r>
    </w:p>
    <w:p w:rsidR="00E62A24" w:rsidRDefault="00E62A24" w:rsidP="00E62A24">
      <w:pPr>
        <w:jc w:val="both"/>
        <w:rPr>
          <w:i/>
          <w:iCs/>
          <w:sz w:val="22"/>
          <w:szCs w:val="22"/>
        </w:rPr>
      </w:pPr>
      <w:r w:rsidRPr="00E62A24">
        <w:rPr>
          <w:rFonts w:asciiTheme="majorBidi" w:hAnsiTheme="majorBidi" w:cstheme="majorBidi"/>
          <w:i/>
          <w:iCs/>
          <w:sz w:val="22"/>
          <w:szCs w:val="22"/>
        </w:rPr>
        <w:t xml:space="preserve">Studi ini membahas mengenai pengaruh ), </w:t>
      </w:r>
      <w:r w:rsidRPr="00E62A24">
        <w:rPr>
          <w:i/>
          <w:iCs/>
          <w:sz w:val="22"/>
          <w:szCs w:val="22"/>
        </w:rPr>
        <w:t xml:space="preserve">Price Book Value (PBV), Earning Per Share (EPS) Debt to Equity Ratio (DER), Price to Equity (PER) terhadap Harga Saham Perusahaan yang terdaftar di Jakarta Islamic Indeks (JII). </w:t>
      </w:r>
      <w:r>
        <w:rPr>
          <w:i/>
          <w:iCs/>
          <w:sz w:val="22"/>
          <w:szCs w:val="22"/>
        </w:rPr>
        <w:t>JII dipilih dalam penelitian ini karena JII merupakan indek saham syariah dengan fundamental yang baik, berkapasitas besar dan beresiko</w:t>
      </w:r>
      <w:r w:rsidR="001C0C46">
        <w:rPr>
          <w:i/>
          <w:iCs/>
          <w:sz w:val="22"/>
          <w:szCs w:val="22"/>
        </w:rPr>
        <w:t>.</w:t>
      </w:r>
      <w:r>
        <w:rPr>
          <w:i/>
          <w:iCs/>
          <w:sz w:val="22"/>
          <w:szCs w:val="22"/>
        </w:rPr>
        <w:t xml:space="preserve"> </w:t>
      </w:r>
      <w:r w:rsidRPr="00E62A24">
        <w:rPr>
          <w:i/>
          <w:iCs/>
          <w:sz w:val="22"/>
          <w:szCs w:val="22"/>
        </w:rPr>
        <w:t>Data yang digunakan dalam penelitian ini adalah data sekunder dari laporan keuangan perusahaan yang menjadi sampel penelitian dari website resmi Bursa Efek Indonesia. Sampel dalam penelitian ini terdiri dari 18 perusahaan pada periode 2013-2017. Hasil dari penelitian ini menun</w:t>
      </w:r>
      <w:r w:rsidR="00305883">
        <w:rPr>
          <w:i/>
          <w:iCs/>
          <w:sz w:val="22"/>
          <w:szCs w:val="22"/>
        </w:rPr>
        <w:t>jukkan bahwa variabel BV dan DER</w:t>
      </w:r>
      <w:r w:rsidRPr="00E62A24">
        <w:rPr>
          <w:i/>
          <w:iCs/>
          <w:sz w:val="22"/>
          <w:szCs w:val="22"/>
        </w:rPr>
        <w:t xml:space="preserve"> tidak dapat pengaruh terhadap Harga samam, tetapi Variabel PB</w:t>
      </w:r>
      <w:r w:rsidR="00305883">
        <w:rPr>
          <w:i/>
          <w:iCs/>
          <w:sz w:val="22"/>
          <w:szCs w:val="22"/>
        </w:rPr>
        <w:t>V, EPS dan PER</w:t>
      </w:r>
      <w:r w:rsidRPr="00E62A24">
        <w:rPr>
          <w:i/>
          <w:iCs/>
          <w:sz w:val="22"/>
          <w:szCs w:val="22"/>
        </w:rPr>
        <w:t xml:space="preserve"> berpengaruh terhadap harga saham. </w:t>
      </w:r>
    </w:p>
    <w:p w:rsidR="001C0C46" w:rsidRDefault="001C0C46" w:rsidP="00E62A24">
      <w:pPr>
        <w:jc w:val="both"/>
        <w:rPr>
          <w:i/>
          <w:iCs/>
          <w:sz w:val="22"/>
          <w:szCs w:val="22"/>
        </w:rPr>
      </w:pPr>
    </w:p>
    <w:p w:rsidR="001C0C46" w:rsidRPr="001C0C46" w:rsidRDefault="001C0C46" w:rsidP="00E62A24">
      <w:pPr>
        <w:jc w:val="both"/>
        <w:rPr>
          <w:i/>
          <w:iCs/>
          <w:sz w:val="22"/>
          <w:szCs w:val="22"/>
        </w:rPr>
      </w:pPr>
      <w:r>
        <w:rPr>
          <w:b/>
          <w:bCs/>
          <w:i/>
          <w:iCs/>
          <w:sz w:val="22"/>
          <w:szCs w:val="22"/>
        </w:rPr>
        <w:t xml:space="preserve">Kata Kunci: </w:t>
      </w:r>
      <w:r>
        <w:rPr>
          <w:i/>
          <w:iCs/>
          <w:sz w:val="22"/>
          <w:szCs w:val="22"/>
        </w:rPr>
        <w:t>Analisis Fundamental, Harga Saham, JII</w:t>
      </w:r>
    </w:p>
    <w:p w:rsidR="004B7814" w:rsidRPr="00E62A24" w:rsidRDefault="004B7814" w:rsidP="007432C2">
      <w:pPr>
        <w:autoSpaceDE w:val="0"/>
        <w:spacing w:after="120"/>
        <w:ind w:left="1080" w:right="14" w:hanging="1080"/>
        <w:rPr>
          <w:iCs/>
          <w:sz w:val="22"/>
          <w:szCs w:val="22"/>
          <w:lang w:val="id-ID"/>
        </w:rPr>
      </w:pPr>
    </w:p>
    <w:p w:rsidR="00F41C66" w:rsidRPr="00612CF4" w:rsidRDefault="00F41C66" w:rsidP="00612CF4">
      <w:pPr>
        <w:sectPr w:rsidR="00F41C66" w:rsidRPr="00612CF4" w:rsidSect="001D0642">
          <w:headerReference w:type="default" r:id="rId10"/>
          <w:footerReference w:type="default" r:id="rId11"/>
          <w:type w:val="continuous"/>
          <w:pgSz w:w="11909" w:h="16834" w:code="9"/>
          <w:pgMar w:top="1701" w:right="1701" w:bottom="1985" w:left="1701" w:header="1060" w:footer="1242" w:gutter="0"/>
          <w:cols w:space="720"/>
          <w:docGrid w:linePitch="360"/>
        </w:sectPr>
      </w:pPr>
    </w:p>
    <w:p w:rsidR="00D73172" w:rsidRPr="00175EEA" w:rsidRDefault="00D73172" w:rsidP="004B7814">
      <w:pPr>
        <w:pStyle w:val="Heading1"/>
        <w:numPr>
          <w:ilvl w:val="0"/>
          <w:numId w:val="6"/>
        </w:numPr>
        <w:suppressAutoHyphens/>
        <w:spacing w:after="60"/>
        <w:ind w:left="360"/>
        <w:rPr>
          <w:i w:val="0"/>
          <w:sz w:val="22"/>
          <w:szCs w:val="22"/>
        </w:rPr>
      </w:pPr>
      <w:r w:rsidRPr="00175EEA">
        <w:rPr>
          <w:i w:val="0"/>
          <w:sz w:val="22"/>
          <w:szCs w:val="22"/>
        </w:rPr>
        <w:lastRenderedPageBreak/>
        <w:t>PENDA</w:t>
      </w:r>
      <w:r w:rsidR="001C0C46">
        <w:rPr>
          <w:i w:val="0"/>
          <w:sz w:val="22"/>
          <w:szCs w:val="22"/>
        </w:rPr>
        <w:t>HULUAN</w:t>
      </w:r>
    </w:p>
    <w:p w:rsidR="001C0C46" w:rsidRDefault="001C0C46" w:rsidP="00D73172">
      <w:pPr>
        <w:spacing w:after="120"/>
        <w:ind w:firstLine="360"/>
        <w:jc w:val="both"/>
        <w:rPr>
          <w:sz w:val="22"/>
          <w:szCs w:val="22"/>
        </w:rPr>
      </w:pPr>
    </w:p>
    <w:p w:rsidR="001C0C46" w:rsidRDefault="001C0C46" w:rsidP="001C0C46">
      <w:pPr>
        <w:spacing w:after="120"/>
        <w:ind w:firstLine="360"/>
        <w:jc w:val="both"/>
        <w:rPr>
          <w:sz w:val="22"/>
          <w:szCs w:val="22"/>
        </w:rPr>
      </w:pPr>
      <w:r w:rsidRPr="001C0C46">
        <w:rPr>
          <w:rFonts w:asciiTheme="majorBidi" w:hAnsiTheme="majorBidi" w:cstheme="majorBidi"/>
          <w:sz w:val="22"/>
          <w:szCs w:val="22"/>
        </w:rPr>
        <w:t xml:space="preserve">Pasar modal pada hakekatnya adalah pasar yang tidak berbeda jauh dengan pasar tradisional, dimana ada pedagang, pembeli dan tawar menawar harga. Pasar modal juga dapat diartikan sebagai wahana yang mempertemukan </w:t>
      </w:r>
      <w:proofErr w:type="gramStart"/>
      <w:r w:rsidRPr="001C0C46">
        <w:rPr>
          <w:rFonts w:asciiTheme="majorBidi" w:hAnsiTheme="majorBidi" w:cstheme="majorBidi"/>
          <w:sz w:val="22"/>
          <w:szCs w:val="22"/>
        </w:rPr>
        <w:t>dana</w:t>
      </w:r>
      <w:proofErr w:type="gramEnd"/>
      <w:r w:rsidRPr="001C0C46">
        <w:rPr>
          <w:rFonts w:asciiTheme="majorBidi" w:hAnsiTheme="majorBidi" w:cstheme="majorBidi"/>
          <w:sz w:val="22"/>
          <w:szCs w:val="22"/>
        </w:rPr>
        <w:t xml:space="preserve"> sesuai dengan aturan yang ditetapkan. Pasar modal diharapkan mampu menjadi alternative pendanaan bagi perusahaan dalam memperoleh dana dari masyarakat (investor) dan juga sebagai alternative berinvestasi  </w:t>
      </w:r>
      <w:r w:rsidRPr="001C0C46">
        <w:rPr>
          <w:rFonts w:asciiTheme="majorBidi" w:hAnsiTheme="majorBidi" w:cstheme="majorBidi"/>
          <w:sz w:val="22"/>
          <w:szCs w:val="22"/>
        </w:rPr>
        <w:fldChar w:fldCharType="begin" w:fldLock="1"/>
      </w:r>
      <w:r w:rsidRPr="001C0C46">
        <w:rPr>
          <w:rFonts w:asciiTheme="majorBidi" w:hAnsiTheme="majorBidi" w:cstheme="majorBidi"/>
          <w:sz w:val="22"/>
          <w:szCs w:val="22"/>
        </w:rPr>
        <w:instrText>ADDIN CSL_CITATION {"citationItems":[{"id":"ITEM-1","itemData":{"author":[{"dropping-particle":"","family":"Repi Putra Irawan","given":"Wahidahwati","non-dropping-particle":"","parse-names":false,"suffix":""}],"container-title":"Jurnal Ilmu &amp; Riset Akuntansi","id":"ITEM-1","issue":"11","issued":{"date-parts":[["2013"]]},"page":"1-17","title":"Penerapan Analisis Fundamental Dalam Menilai Investasi Saham Di Bursa Efek Indonesia","type":"article-journal","volume":"2"},"uris":["http://www.mendeley.com/documents/?uuid=ddc511fc-36c7-4a64-9b8b-7d35905b96de"]}],"mendeley":{"formattedCitation":"(Repi Putra Irawan, 2013)","plainTextFormattedCitation":"(Repi Putra Irawan, 2013)","previouslyFormattedCitation":"(Repi Putra Irawan, 2013)"},"properties":{"noteIndex":0},"schema":"https://github.com/citation-style-language/schema/raw/master/csl-citation.json"}</w:instrText>
      </w:r>
      <w:r w:rsidRPr="001C0C46">
        <w:rPr>
          <w:rFonts w:asciiTheme="majorBidi" w:hAnsiTheme="majorBidi" w:cstheme="majorBidi"/>
          <w:sz w:val="22"/>
          <w:szCs w:val="22"/>
        </w:rPr>
        <w:fldChar w:fldCharType="separate"/>
      </w:r>
      <w:r w:rsidRPr="001C0C46">
        <w:rPr>
          <w:rFonts w:asciiTheme="majorBidi" w:hAnsiTheme="majorBidi" w:cstheme="majorBidi"/>
          <w:noProof/>
          <w:sz w:val="22"/>
          <w:szCs w:val="22"/>
        </w:rPr>
        <w:t>(Repi Putra Irawan, 2013)</w:t>
      </w:r>
      <w:r w:rsidRPr="001C0C46">
        <w:rPr>
          <w:rFonts w:asciiTheme="majorBidi" w:hAnsiTheme="majorBidi" w:cstheme="majorBidi"/>
          <w:sz w:val="22"/>
          <w:szCs w:val="22"/>
        </w:rPr>
        <w:fldChar w:fldCharType="end"/>
      </w:r>
      <w:r w:rsidRPr="001C0C46">
        <w:rPr>
          <w:rFonts w:asciiTheme="majorBidi" w:hAnsiTheme="majorBidi" w:cstheme="majorBidi"/>
          <w:sz w:val="22"/>
          <w:szCs w:val="22"/>
        </w:rPr>
        <w:t xml:space="preserve">. Investasi yaitu penempatan sejumlah kekayaan untuk mendapatkan keuntungan dimasa yang </w:t>
      </w:r>
      <w:proofErr w:type="gramStart"/>
      <w:r w:rsidRPr="001C0C46">
        <w:rPr>
          <w:rFonts w:asciiTheme="majorBidi" w:hAnsiTheme="majorBidi" w:cstheme="majorBidi"/>
          <w:sz w:val="22"/>
          <w:szCs w:val="22"/>
        </w:rPr>
        <w:t>akan</w:t>
      </w:r>
      <w:proofErr w:type="gramEnd"/>
      <w:r w:rsidRPr="001C0C46">
        <w:rPr>
          <w:rFonts w:asciiTheme="majorBidi" w:hAnsiTheme="majorBidi" w:cstheme="majorBidi"/>
          <w:sz w:val="22"/>
          <w:szCs w:val="22"/>
        </w:rPr>
        <w:t xml:space="preserve"> datang. Investasi juga berarti penanaman modal saat ini untuk memperoleh manfaatnya dimasa depan </w:t>
      </w:r>
      <w:r w:rsidRPr="001C0C46">
        <w:rPr>
          <w:rFonts w:asciiTheme="majorBidi" w:hAnsiTheme="majorBidi" w:cstheme="majorBidi"/>
          <w:sz w:val="22"/>
          <w:szCs w:val="22"/>
        </w:rPr>
        <w:fldChar w:fldCharType="begin" w:fldLock="1"/>
      </w:r>
      <w:r w:rsidRPr="001C0C46">
        <w:rPr>
          <w:rFonts w:asciiTheme="majorBidi" w:hAnsiTheme="majorBidi" w:cstheme="majorBidi"/>
          <w:sz w:val="22"/>
          <w:szCs w:val="22"/>
        </w:rPr>
        <w:instrText>ADDIN CSL_CITATION {"citationItems":[{"id":"ITEM-1","itemData":{"author":[{"dropping-particle":"","family":"Nurul Huda","given":"Mustafa Edwin Nasution","non-dropping-particle":"","parse-names":false,"suffix":""}],"edition":"Edisi Revi","id":"ITEM-1","issued":{"date-parts":[["2014"]]},"number-of-pages":"8","publisher":"Kencana","publisher-place":"Jakarta","title":"Investasi pada Pasar Modal Syariah","type":"book"},"uris":["http://www.mendeley.com/documents/?uuid=5b6b5829-2176-4089-9882-47af05927d6d"]}],"mendeley":{"formattedCitation":"(Nurul Huda, 2014)","plainTextFormattedCitation":"(Nurul Huda, 2014)","previouslyFormattedCitation":"(Nurul Huda, 2014)"},"properties":{"noteIndex":0},"schema":"https://github.com/citation-style-language/schema/raw/master/csl-citation.json"}</w:instrText>
      </w:r>
      <w:r w:rsidRPr="001C0C46">
        <w:rPr>
          <w:rFonts w:asciiTheme="majorBidi" w:hAnsiTheme="majorBidi" w:cstheme="majorBidi"/>
          <w:sz w:val="22"/>
          <w:szCs w:val="22"/>
        </w:rPr>
        <w:fldChar w:fldCharType="separate"/>
      </w:r>
      <w:r w:rsidRPr="001C0C46">
        <w:rPr>
          <w:rFonts w:asciiTheme="majorBidi" w:hAnsiTheme="majorBidi" w:cstheme="majorBidi"/>
          <w:noProof/>
          <w:sz w:val="22"/>
          <w:szCs w:val="22"/>
        </w:rPr>
        <w:t>(Nurul Huda, 2014)</w:t>
      </w:r>
      <w:r w:rsidRPr="001C0C46">
        <w:rPr>
          <w:rFonts w:asciiTheme="majorBidi" w:hAnsiTheme="majorBidi" w:cstheme="majorBidi"/>
          <w:sz w:val="22"/>
          <w:szCs w:val="22"/>
        </w:rPr>
        <w:fldChar w:fldCharType="end"/>
      </w:r>
      <w:r w:rsidRPr="001C0C46">
        <w:rPr>
          <w:rFonts w:asciiTheme="majorBidi" w:hAnsiTheme="majorBidi" w:cstheme="majorBidi"/>
          <w:sz w:val="22"/>
          <w:szCs w:val="22"/>
        </w:rPr>
        <w:t xml:space="preserve"> Instrumen pasar modal adalah saham, obligasi, warrant, opsi dan lain-lain. Salah satu instumen yang terkenal adalah saham yang merupakan bukti kepemilikan atas sebuah</w:t>
      </w:r>
      <w:r>
        <w:rPr>
          <w:rFonts w:asciiTheme="majorBidi" w:hAnsiTheme="majorBidi" w:cstheme="majorBidi"/>
          <w:szCs w:val="24"/>
        </w:rPr>
        <w:t xml:space="preserve"> </w:t>
      </w:r>
      <w:r w:rsidRPr="001C0C46">
        <w:rPr>
          <w:rFonts w:asciiTheme="majorBidi" w:hAnsiTheme="majorBidi" w:cstheme="majorBidi"/>
          <w:sz w:val="22"/>
          <w:szCs w:val="22"/>
        </w:rPr>
        <w:t>perusahaan yang melakukan penawaran umum (</w:t>
      </w:r>
      <w:r w:rsidRPr="001C0C46">
        <w:rPr>
          <w:rFonts w:asciiTheme="majorBidi" w:hAnsiTheme="majorBidi" w:cstheme="majorBidi"/>
          <w:i/>
          <w:iCs/>
          <w:sz w:val="22"/>
          <w:szCs w:val="22"/>
        </w:rPr>
        <w:t>go public</w:t>
      </w:r>
      <w:r w:rsidRPr="001C0C46">
        <w:rPr>
          <w:rFonts w:asciiTheme="majorBidi" w:hAnsiTheme="majorBidi" w:cstheme="majorBidi"/>
          <w:sz w:val="22"/>
          <w:szCs w:val="22"/>
        </w:rPr>
        <w:t xml:space="preserve">) dalam nominal atau presentase tertentu </w:t>
      </w:r>
      <w:r w:rsidRPr="001C0C46">
        <w:rPr>
          <w:rFonts w:asciiTheme="majorBidi" w:hAnsiTheme="majorBidi" w:cstheme="majorBidi"/>
          <w:sz w:val="22"/>
          <w:szCs w:val="22"/>
        </w:rPr>
        <w:fldChar w:fldCharType="begin" w:fldLock="1"/>
      </w:r>
      <w:r w:rsidRPr="001C0C46">
        <w:rPr>
          <w:rFonts w:asciiTheme="majorBidi" w:hAnsiTheme="majorBidi" w:cstheme="majorBidi"/>
          <w:sz w:val="22"/>
          <w:szCs w:val="22"/>
        </w:rPr>
        <w:instrText>ADDIN CSL_CITATION {"citationItems":[{"id":"ITEM-1","itemData":{"author":[{"dropping-particle":"","family":"Nurul Huda","given":"Mustafa Edwin Nasution","non-dropping-particle":"","parse-names":false,"suffix":""}],"edition":"Edisi Revi","id":"ITEM-1","issued":{"date-parts":[["2014"]]},"number-of-pages":"8","publisher":"Kencana","publisher-place":"Jakarta","title":"Investasi pada Pasar Modal Syariah","type":"book"},"uris":["http://www.mendeley.com/documents/?uuid=5b6b5829-2176-4089-9882-47af05927d6d"]}],"mendeley":{"formattedCitation":"(Nurul Huda, 2014)","plainTextFormattedCitation":"(Nurul Huda, 2014)","previouslyFormattedCitation":"(Nurul Huda, 2014)"},"properties":{"noteIndex":0},"schema":"https://github.com/citation-style-language/schema/raw/master/csl-citation.json"}</w:instrText>
      </w:r>
      <w:r w:rsidRPr="001C0C46">
        <w:rPr>
          <w:rFonts w:asciiTheme="majorBidi" w:hAnsiTheme="majorBidi" w:cstheme="majorBidi"/>
          <w:sz w:val="22"/>
          <w:szCs w:val="22"/>
        </w:rPr>
        <w:fldChar w:fldCharType="separate"/>
      </w:r>
      <w:r w:rsidRPr="001C0C46">
        <w:rPr>
          <w:rFonts w:asciiTheme="majorBidi" w:hAnsiTheme="majorBidi" w:cstheme="majorBidi"/>
          <w:noProof/>
          <w:sz w:val="22"/>
          <w:szCs w:val="22"/>
        </w:rPr>
        <w:t>(Nurul Huda, 2014)</w:t>
      </w:r>
      <w:r w:rsidRPr="001C0C46">
        <w:rPr>
          <w:rFonts w:asciiTheme="majorBidi" w:hAnsiTheme="majorBidi" w:cstheme="majorBidi"/>
          <w:sz w:val="22"/>
          <w:szCs w:val="22"/>
        </w:rPr>
        <w:fldChar w:fldCharType="end"/>
      </w:r>
      <w:r w:rsidRPr="001C0C46">
        <w:rPr>
          <w:rFonts w:asciiTheme="majorBidi" w:hAnsiTheme="majorBidi" w:cstheme="majorBidi"/>
          <w:sz w:val="22"/>
          <w:szCs w:val="22"/>
        </w:rPr>
        <w:t xml:space="preserve">. Pasar saham adalah semua tentang dinamika dan itulah sebabnya investor dan manajer dana telah berulang kali dihadapkan dengan masalah memprediksi harga saham secara akurat sehingga mendapatkan pengembalian yang layak </w:t>
      </w:r>
      <w:r w:rsidRPr="001C0C46">
        <w:rPr>
          <w:rFonts w:asciiTheme="majorBidi" w:hAnsiTheme="majorBidi" w:cstheme="majorBidi"/>
          <w:sz w:val="22"/>
          <w:szCs w:val="22"/>
        </w:rPr>
        <w:fldChar w:fldCharType="begin" w:fldLock="1"/>
      </w:r>
      <w:r w:rsidR="006D68C4">
        <w:rPr>
          <w:rFonts w:asciiTheme="majorBidi" w:hAnsiTheme="majorBidi" w:cstheme="majorBidi"/>
          <w:sz w:val="22"/>
          <w:szCs w:val="22"/>
        </w:rPr>
        <w:instrText>ADDIN CSL_CITATION {"citationItems":[{"id":"ITEM-1","itemData":{"author":[{"dropping-particle":"","family":"Malhotra","given":"Nidhi","non-dropping-particle":"","parse-names":false,"suffix":""},{"dropping-particle":"","family":"Tandon","given":"Kamini","non-dropping-particle":"","parse-names":false,"suffix":""}],"container-title":"IRACST- International Journal of Research in Management &amp; Technology (IJRMT)","id":"ITEM-1","issue":"3","issued":{"date-parts":[["2013"]]},"page":"86-95","title":"Determinants of Stock Prices: Empirical Evidence from NSE 100 Companies","type":"article-journal","volume":"3"},"uris":["http://www.mendeley.com/documents/?uuid=ded03730-6454-44ee-a28c-0856b0ca90ad"]}],"mendeley":{"formattedCitation":"(Malhotra &amp; Tandon, 2013)","plainTextFormattedCitation":"(Malhotra &amp; Tandon, 2013)","previouslyFormattedCitation":"(Malhotra &amp; Tandon, 2013)"},"properties":{"noteIndex":0},"schema":"https://github.com/citation-style-language/schema/raw/master/csl-citation.json"}</w:instrText>
      </w:r>
      <w:r w:rsidRPr="001C0C46">
        <w:rPr>
          <w:rFonts w:asciiTheme="majorBidi" w:hAnsiTheme="majorBidi" w:cstheme="majorBidi"/>
          <w:sz w:val="22"/>
          <w:szCs w:val="22"/>
        </w:rPr>
        <w:fldChar w:fldCharType="separate"/>
      </w:r>
      <w:r w:rsidRPr="001C0C46">
        <w:rPr>
          <w:rFonts w:asciiTheme="majorBidi" w:hAnsiTheme="majorBidi" w:cstheme="majorBidi"/>
          <w:noProof/>
          <w:sz w:val="22"/>
          <w:szCs w:val="22"/>
        </w:rPr>
        <w:t>(Malhotra &amp; Tandon, 2013)</w:t>
      </w:r>
      <w:r w:rsidRPr="001C0C46">
        <w:rPr>
          <w:rFonts w:asciiTheme="majorBidi" w:hAnsiTheme="majorBidi" w:cstheme="majorBidi"/>
          <w:sz w:val="22"/>
          <w:szCs w:val="22"/>
        </w:rPr>
        <w:fldChar w:fldCharType="end"/>
      </w:r>
      <w:r w:rsidRPr="001C0C46">
        <w:rPr>
          <w:rFonts w:asciiTheme="majorBidi" w:hAnsiTheme="majorBidi" w:cstheme="majorBidi"/>
          <w:sz w:val="22"/>
          <w:szCs w:val="22"/>
        </w:rPr>
        <w:t>.</w:t>
      </w:r>
    </w:p>
    <w:p w:rsidR="001C0C46" w:rsidRDefault="001C0C46" w:rsidP="001C0C46">
      <w:pPr>
        <w:spacing w:after="120"/>
        <w:ind w:firstLine="360"/>
        <w:jc w:val="both"/>
        <w:rPr>
          <w:sz w:val="22"/>
          <w:szCs w:val="22"/>
        </w:rPr>
      </w:pPr>
      <w:r w:rsidRPr="001C0C46">
        <w:rPr>
          <w:rFonts w:asciiTheme="majorBidi" w:hAnsiTheme="majorBidi" w:cstheme="majorBidi"/>
          <w:sz w:val="22"/>
          <w:szCs w:val="22"/>
        </w:rPr>
        <w:lastRenderedPageBreak/>
        <w:t>Saham (</w:t>
      </w:r>
      <w:r w:rsidRPr="001C0C46">
        <w:rPr>
          <w:rFonts w:asciiTheme="majorBidi" w:hAnsiTheme="majorBidi" w:cstheme="majorBidi"/>
          <w:i/>
          <w:iCs/>
          <w:sz w:val="22"/>
          <w:szCs w:val="22"/>
        </w:rPr>
        <w:t>stock</w:t>
      </w:r>
      <w:r w:rsidRPr="001C0C46">
        <w:rPr>
          <w:rFonts w:asciiTheme="majorBidi" w:hAnsiTheme="majorBidi" w:cstheme="majorBidi"/>
          <w:sz w:val="22"/>
          <w:szCs w:val="22"/>
        </w:rPr>
        <w:t xml:space="preserve">) adalah bukti atau tanda kepemilikan bagian modal pada suatu perusahaan terbatas </w:t>
      </w:r>
      <w:r w:rsidRPr="001C0C46">
        <w:rPr>
          <w:rFonts w:asciiTheme="majorBidi" w:hAnsiTheme="majorBidi" w:cstheme="majorBidi"/>
          <w:sz w:val="22"/>
          <w:szCs w:val="22"/>
        </w:rPr>
        <w:fldChar w:fldCharType="begin" w:fldLock="1"/>
      </w:r>
      <w:r w:rsidRPr="001C0C46">
        <w:rPr>
          <w:rFonts w:asciiTheme="majorBidi" w:hAnsiTheme="majorBidi" w:cstheme="majorBidi"/>
          <w:sz w:val="22"/>
          <w:szCs w:val="22"/>
        </w:rPr>
        <w:instrText>ADDIN CSL_CITATION {"citationItems":[{"id":"ITEM-1","itemData":{"author":[{"dropping-particle":"","family":"Andri Soemitra","given":"","non-dropping-particle":"","parse-names":false,"suffix":""}],"id":"ITEM-1","issued":{"date-parts":[["2012"]]},"number-of-pages":"137","publisher":"Kencana","publisher-place":"Jakarta","title":"Bank dan Lembaga Keuangan Syariah","type":"book"},"uris":["http://www.mendeley.com/documents/?uuid=db1b043c-b693-42b9-ba1a-be105defc148"]}],"mendeley":{"formattedCitation":"(Andri Soemitra, 2012)","plainTextFormattedCitation":"(Andri Soemitra, 2012)","previouslyFormattedCitation":"(Andri Soemitra, 2012)"},"properties":{"noteIndex":0},"schema":"https://github.com/citation-style-language/schema/raw/master/csl-citation.json"}</w:instrText>
      </w:r>
      <w:r w:rsidRPr="001C0C46">
        <w:rPr>
          <w:rFonts w:asciiTheme="majorBidi" w:hAnsiTheme="majorBidi" w:cstheme="majorBidi"/>
          <w:sz w:val="22"/>
          <w:szCs w:val="22"/>
        </w:rPr>
        <w:fldChar w:fldCharType="separate"/>
      </w:r>
      <w:r w:rsidRPr="001C0C46">
        <w:rPr>
          <w:rFonts w:asciiTheme="majorBidi" w:hAnsiTheme="majorBidi" w:cstheme="majorBidi"/>
          <w:noProof/>
          <w:sz w:val="22"/>
          <w:szCs w:val="22"/>
        </w:rPr>
        <w:t>(Andri Soemitra, 2012)</w:t>
      </w:r>
      <w:r w:rsidRPr="001C0C46">
        <w:rPr>
          <w:rFonts w:asciiTheme="majorBidi" w:hAnsiTheme="majorBidi" w:cstheme="majorBidi"/>
          <w:sz w:val="22"/>
          <w:szCs w:val="22"/>
        </w:rPr>
        <w:fldChar w:fldCharType="end"/>
      </w:r>
      <w:r w:rsidRPr="001C0C46">
        <w:rPr>
          <w:rFonts w:asciiTheme="majorBidi" w:hAnsiTheme="majorBidi" w:cstheme="majorBidi"/>
          <w:sz w:val="22"/>
          <w:szCs w:val="22"/>
        </w:rPr>
        <w:t>. Saham yang semakin populer di Indonesia berdampak positif bagi indeks harga saham gabungan (IHSG) yang semakin meningkat dari tahun ke tahun. Pertumbuhan IHSG dalam enam tahun terakhir (2008-29 Desember 2014) tercatat berada di urutan kedua dengan jumlah pertumbuhan return sebesar 282</w:t>
      </w:r>
      <w:proofErr w:type="gramStart"/>
      <w:r w:rsidRPr="001C0C46">
        <w:rPr>
          <w:rFonts w:asciiTheme="majorBidi" w:hAnsiTheme="majorBidi" w:cstheme="majorBidi"/>
          <w:sz w:val="22"/>
          <w:szCs w:val="22"/>
        </w:rPr>
        <w:t>,05</w:t>
      </w:r>
      <w:proofErr w:type="gramEnd"/>
      <w:r w:rsidRPr="001C0C46">
        <w:rPr>
          <w:rFonts w:asciiTheme="majorBidi" w:hAnsiTheme="majorBidi" w:cstheme="majorBidi"/>
          <w:sz w:val="22"/>
          <w:szCs w:val="22"/>
        </w:rPr>
        <w:t>%.</w:t>
      </w:r>
    </w:p>
    <w:p w:rsidR="001C0C46" w:rsidRDefault="001C0C46" w:rsidP="001C0C46">
      <w:pPr>
        <w:spacing w:after="120"/>
        <w:ind w:firstLine="360"/>
        <w:jc w:val="both"/>
        <w:rPr>
          <w:sz w:val="22"/>
          <w:szCs w:val="22"/>
        </w:rPr>
      </w:pPr>
      <w:r w:rsidRPr="001C0C46">
        <w:rPr>
          <w:rFonts w:asciiTheme="majorBidi" w:hAnsiTheme="majorBidi" w:cstheme="majorBidi"/>
          <w:sz w:val="22"/>
          <w:szCs w:val="22"/>
        </w:rPr>
        <w:t xml:space="preserve">Indeks harga saham adalah suatu indikator yang menunjukkan pergerakan harga saham. Di bursa efek Indonesia terdapat 7 (tujuh) jenis indeks, antara lain Indeks Individual, Indeks Harga Saham Sektoral, Indeks Harga Saham Gabungan atau IHSG (Composite Stock Price Index), Indeks LQ 45, Indeks Papan Utama dan Papan Pengembangan, Indeks Kompas 100 dan Indeks Syari’ah </w:t>
      </w:r>
      <w:r w:rsidRPr="001C0C46">
        <w:rPr>
          <w:rFonts w:asciiTheme="majorBidi" w:hAnsiTheme="majorBidi" w:cstheme="majorBidi"/>
          <w:sz w:val="22"/>
          <w:szCs w:val="22"/>
        </w:rPr>
        <w:fldChar w:fldCharType="begin" w:fldLock="1"/>
      </w:r>
      <w:r w:rsidRPr="001C0C46">
        <w:rPr>
          <w:rFonts w:asciiTheme="majorBidi" w:hAnsiTheme="majorBidi" w:cstheme="majorBidi"/>
          <w:sz w:val="22"/>
          <w:szCs w:val="22"/>
        </w:rPr>
        <w:instrText>ADDIN CSL_CITATION {"citationItems":[{"id":"ITEM-1","itemData":{"author":[{"dropping-particle":"","family":"Andri Soemitra","given":"","non-dropping-particle":"","parse-names":false,"suffix":""}],"id":"ITEM-1","issued":{"date-parts":[["2012"]]},"number-of-pages":"137","publisher":"Kencana","publisher-place":"Jakarta","title":"Bank dan Lembaga Keuangan Syariah","type":"book"},"uris":["http://www.mendeley.com/documents/?uuid=db1b043c-b693-42b9-ba1a-be105defc148"]}],"mendeley":{"formattedCitation":"(Andri Soemitra, 2012)","plainTextFormattedCitation":"(Andri Soemitra, 2012)","previouslyFormattedCitation":"(Andri Soemitra, 2012)"},"properties":{"noteIndex":0},"schema":"https://github.com/citation-style-language/schema/raw/master/csl-citation.json"}</w:instrText>
      </w:r>
      <w:r w:rsidRPr="001C0C46">
        <w:rPr>
          <w:rFonts w:asciiTheme="majorBidi" w:hAnsiTheme="majorBidi" w:cstheme="majorBidi"/>
          <w:sz w:val="22"/>
          <w:szCs w:val="22"/>
        </w:rPr>
        <w:fldChar w:fldCharType="separate"/>
      </w:r>
      <w:r w:rsidRPr="001C0C46">
        <w:rPr>
          <w:rFonts w:asciiTheme="majorBidi" w:hAnsiTheme="majorBidi" w:cstheme="majorBidi"/>
          <w:noProof/>
          <w:sz w:val="22"/>
          <w:szCs w:val="22"/>
        </w:rPr>
        <w:t>(Andri Soemitra, 2012)</w:t>
      </w:r>
      <w:r w:rsidRPr="001C0C46">
        <w:rPr>
          <w:rFonts w:asciiTheme="majorBidi" w:hAnsiTheme="majorBidi" w:cstheme="majorBidi"/>
          <w:sz w:val="22"/>
          <w:szCs w:val="22"/>
        </w:rPr>
        <w:fldChar w:fldCharType="end"/>
      </w:r>
      <w:r w:rsidRPr="001C0C46">
        <w:rPr>
          <w:rFonts w:asciiTheme="majorBidi" w:hAnsiTheme="majorBidi" w:cstheme="majorBidi"/>
          <w:sz w:val="22"/>
          <w:szCs w:val="22"/>
        </w:rPr>
        <w:t>.</w:t>
      </w:r>
    </w:p>
    <w:p w:rsidR="001C0C46" w:rsidRDefault="001C0C46" w:rsidP="001C0C46">
      <w:pPr>
        <w:spacing w:after="120"/>
        <w:ind w:firstLine="360"/>
        <w:jc w:val="both"/>
        <w:rPr>
          <w:sz w:val="22"/>
          <w:szCs w:val="22"/>
        </w:rPr>
      </w:pPr>
      <w:r w:rsidRPr="001C0C46">
        <w:rPr>
          <w:rFonts w:asciiTheme="majorBidi" w:hAnsiTheme="majorBidi" w:cstheme="majorBidi"/>
          <w:sz w:val="22"/>
          <w:szCs w:val="22"/>
        </w:rPr>
        <w:t xml:space="preserve">Pergerakan harga saham dapat diprediksi dengan analisis teknikal dan analisis fundamental. Analisis teknikal adalah suatu </w:t>
      </w:r>
      <w:proofErr w:type="gramStart"/>
      <w:r w:rsidRPr="001C0C46">
        <w:rPr>
          <w:rFonts w:asciiTheme="majorBidi" w:hAnsiTheme="majorBidi" w:cstheme="majorBidi"/>
          <w:sz w:val="22"/>
          <w:szCs w:val="22"/>
        </w:rPr>
        <w:t>cara</w:t>
      </w:r>
      <w:proofErr w:type="gramEnd"/>
      <w:r w:rsidRPr="001C0C46">
        <w:rPr>
          <w:rFonts w:asciiTheme="majorBidi" w:hAnsiTheme="majorBidi" w:cstheme="majorBidi"/>
          <w:sz w:val="22"/>
          <w:szCs w:val="22"/>
        </w:rPr>
        <w:t xml:space="preserve"> atau metode perkiraan gerakan harga saham, indeks atau instrument keuangan lainnya dengan menggunakan grafik berdasarkan data historis. Berbeda dengan fundamental, analisis fundamental adalah analisis untuk menghitung nilai intrisik saham dengan menggunakan data keuangan perusahaan yang dapat mencerminkan kondisi fundamental dari emiten.</w:t>
      </w:r>
    </w:p>
    <w:p w:rsidR="001C0C46" w:rsidRDefault="001C0C46" w:rsidP="001C0C46">
      <w:pPr>
        <w:spacing w:after="120"/>
        <w:ind w:firstLine="360"/>
        <w:jc w:val="both"/>
        <w:rPr>
          <w:sz w:val="22"/>
          <w:szCs w:val="22"/>
        </w:rPr>
      </w:pPr>
      <w:r w:rsidRPr="001C0C46">
        <w:rPr>
          <w:rFonts w:asciiTheme="majorBidi" w:hAnsiTheme="majorBidi" w:cstheme="majorBidi"/>
          <w:sz w:val="22"/>
          <w:szCs w:val="22"/>
        </w:rPr>
        <w:t xml:space="preserve">Analisi fundamental adalah landasan investasi. Bagian terbesar dari analisi fundamental melibatkan menggali laporan keuangan dan melakukan analisis kuantitatif, ini melibatkan melihat pendapatan, pengeluaran, asset, kewajiban, dan semua aspek keuangan lain dari perusahaan untuk mendapatkan wawasan tentang kinerja masa depan perusahaan </w:t>
      </w:r>
      <w:r w:rsidRPr="001C0C46">
        <w:rPr>
          <w:rFonts w:asciiTheme="majorBidi" w:hAnsiTheme="majorBidi" w:cstheme="majorBidi"/>
          <w:sz w:val="22"/>
          <w:szCs w:val="22"/>
        </w:rPr>
        <w:fldChar w:fldCharType="begin" w:fldLock="1"/>
      </w:r>
      <w:r w:rsidRPr="001C0C46">
        <w:rPr>
          <w:rFonts w:asciiTheme="majorBidi" w:hAnsiTheme="majorBidi" w:cstheme="majorBidi"/>
          <w:sz w:val="22"/>
          <w:szCs w:val="22"/>
        </w:rPr>
        <w:instrText>ADDIN CSL_CITATION {"citationItems":[{"id":"ITEM-1","itemData":{"DOI":"10.4172/2168-9458.1000163","author":[{"dropping-particle":"","family":"Drakopoulou","given":"Veliota","non-dropping-particle":"","parse-names":false,"suffix":""}],"container-title":"Journal of Stock &amp; Forex Trading","id":"ITEM-1","issue":"1","issued":{"date-parts":[["2016"]]},"page":"2-8","title":"A Review of Fundamental and Technical Stock Analysis Techniques Journal of Stock &amp; Forex Trading A Review of Fundamental and Technical Stock Analysis Techniques","type":"article-journal","volume":"5"},"uris":["http://www.mendeley.com/documents/?uuid=f796a7ab-3bcc-45e3-bfe4-2ddbee2ba6d5"]}],"mendeley":{"formattedCitation":"(Drakopoulou, 2016)","plainTextFormattedCitation":"(Drakopoulou, 2016)","previouslyFormattedCitation":"(Drakopoulou, 2016)"},"properties":{"noteIndex":0},"schema":"https://github.com/citation-style-language/schema/raw/master/csl-citation.json"}</w:instrText>
      </w:r>
      <w:r w:rsidRPr="001C0C46">
        <w:rPr>
          <w:rFonts w:asciiTheme="majorBidi" w:hAnsiTheme="majorBidi" w:cstheme="majorBidi"/>
          <w:sz w:val="22"/>
          <w:szCs w:val="22"/>
        </w:rPr>
        <w:fldChar w:fldCharType="separate"/>
      </w:r>
      <w:r w:rsidRPr="001C0C46">
        <w:rPr>
          <w:rFonts w:asciiTheme="majorBidi" w:hAnsiTheme="majorBidi" w:cstheme="majorBidi"/>
          <w:noProof/>
          <w:sz w:val="22"/>
          <w:szCs w:val="22"/>
        </w:rPr>
        <w:t>(Drakopoulou, 2016)</w:t>
      </w:r>
      <w:r w:rsidRPr="001C0C46">
        <w:rPr>
          <w:rFonts w:asciiTheme="majorBidi" w:hAnsiTheme="majorBidi" w:cstheme="majorBidi"/>
          <w:sz w:val="22"/>
          <w:szCs w:val="22"/>
        </w:rPr>
        <w:fldChar w:fldCharType="end"/>
      </w:r>
      <w:r w:rsidRPr="001C0C46">
        <w:rPr>
          <w:rFonts w:asciiTheme="majorBidi" w:hAnsiTheme="majorBidi" w:cstheme="majorBidi"/>
          <w:sz w:val="22"/>
          <w:szCs w:val="22"/>
        </w:rPr>
        <w:t xml:space="preserve">. Menurut Tandelilin, dalam melakukan analisis secara fundamental dengan menganalisis perusahaan, investor dapat memilih perusahaan yang layak untuk dijadikan alternative investasi </w:t>
      </w:r>
      <w:r w:rsidRPr="001C0C46">
        <w:rPr>
          <w:rFonts w:asciiTheme="majorBidi" w:hAnsiTheme="majorBidi" w:cstheme="majorBidi"/>
          <w:sz w:val="22"/>
          <w:szCs w:val="22"/>
        </w:rPr>
        <w:fldChar w:fldCharType="begin" w:fldLock="1"/>
      </w:r>
      <w:r w:rsidRPr="001C0C46">
        <w:rPr>
          <w:rFonts w:asciiTheme="majorBidi" w:hAnsiTheme="majorBidi" w:cstheme="majorBidi"/>
          <w:sz w:val="22"/>
          <w:szCs w:val="22"/>
        </w:rPr>
        <w:instrText>ADDIN CSL_CITATION {"citationItems":[{"id":"ITEM-1","itemData":{"author":[{"dropping-particle":"","family":"Eduardus Tandelilin","given":"","non-dropping-particle":"","parse-names":false,"suffix":""}],"edition":"Edisi Pert","id":"ITEM-1","issued":{"date-parts":[["2010"]]},"number-of-pages":"363","publisher":"Kanisius","publisher-place":"Yogyakarta","title":"No Portofolio dan Investasi Teori dan Aplikasi","type":"book"},"uris":["http://www.mendeley.com/documents/?uuid=92ad57e9-002b-4b6c-8174-fb5a4f240d57"]}],"mendeley":{"formattedCitation":"(Eduardus Tandelilin, 2010)","plainTextFormattedCitation":"(Eduardus Tandelilin, 2010)","previouslyFormattedCitation":"(Eduardus Tandelilin, 2010)"},"properties":{"noteIndex":0},"schema":"https://github.com/citation-style-language/schema/raw/master/csl-citation.json"}</w:instrText>
      </w:r>
      <w:r w:rsidRPr="001C0C46">
        <w:rPr>
          <w:rFonts w:asciiTheme="majorBidi" w:hAnsiTheme="majorBidi" w:cstheme="majorBidi"/>
          <w:sz w:val="22"/>
          <w:szCs w:val="22"/>
        </w:rPr>
        <w:fldChar w:fldCharType="separate"/>
      </w:r>
      <w:r w:rsidRPr="001C0C46">
        <w:rPr>
          <w:rFonts w:asciiTheme="majorBidi" w:hAnsiTheme="majorBidi" w:cstheme="majorBidi"/>
          <w:noProof/>
          <w:sz w:val="22"/>
          <w:szCs w:val="22"/>
        </w:rPr>
        <w:t>(Eduardus Tandelilin, 2010)</w:t>
      </w:r>
      <w:r w:rsidRPr="001C0C46">
        <w:rPr>
          <w:rFonts w:asciiTheme="majorBidi" w:hAnsiTheme="majorBidi" w:cstheme="majorBidi"/>
          <w:sz w:val="22"/>
          <w:szCs w:val="22"/>
        </w:rPr>
        <w:fldChar w:fldCharType="end"/>
      </w:r>
      <w:r w:rsidRPr="001C0C46">
        <w:rPr>
          <w:rFonts w:asciiTheme="majorBidi" w:hAnsiTheme="majorBidi" w:cstheme="majorBidi"/>
          <w:sz w:val="22"/>
          <w:szCs w:val="22"/>
        </w:rPr>
        <w:t xml:space="preserve">. Analisis fundamental ini menyatakan bahwa setiap instrument investasi mempunyai landasan yang kuat yaitu nilai instinsik yang dapat ditentukan melalui suatu analisis yang sangat hati-hati terhadap kondisi pada saat sekarang dan prospeknya dimasa yang </w:t>
      </w:r>
      <w:proofErr w:type="gramStart"/>
      <w:r w:rsidRPr="001C0C46">
        <w:rPr>
          <w:rFonts w:asciiTheme="majorBidi" w:hAnsiTheme="majorBidi" w:cstheme="majorBidi"/>
          <w:sz w:val="22"/>
          <w:szCs w:val="22"/>
        </w:rPr>
        <w:t>akan</w:t>
      </w:r>
      <w:proofErr w:type="gramEnd"/>
      <w:r w:rsidRPr="001C0C46">
        <w:rPr>
          <w:rFonts w:asciiTheme="majorBidi" w:hAnsiTheme="majorBidi" w:cstheme="majorBidi"/>
          <w:sz w:val="22"/>
          <w:szCs w:val="22"/>
        </w:rPr>
        <w:t xml:space="preserve"> datang. Sebagian pakar berpendapat teknik analisis fundamental lebih cocok untuk membuat keputusan dalam memilih saham perusahaan yang mana yang baik untuk dibeli dalam berinvestasi jangka panjang.</w:t>
      </w:r>
    </w:p>
    <w:p w:rsidR="001C0C46" w:rsidRDefault="001C0C46" w:rsidP="001C0C46">
      <w:pPr>
        <w:spacing w:after="120"/>
        <w:ind w:firstLine="360"/>
        <w:jc w:val="both"/>
        <w:rPr>
          <w:sz w:val="22"/>
          <w:szCs w:val="22"/>
        </w:rPr>
      </w:pPr>
      <w:r w:rsidRPr="001C0C46">
        <w:rPr>
          <w:rFonts w:asciiTheme="majorBidi" w:hAnsiTheme="majorBidi" w:cstheme="majorBidi"/>
          <w:sz w:val="22"/>
          <w:szCs w:val="22"/>
        </w:rPr>
        <w:t xml:space="preserve">Harga saham merupakan nilai sekarang dari arus kas yang </w:t>
      </w:r>
      <w:proofErr w:type="gramStart"/>
      <w:r w:rsidRPr="001C0C46">
        <w:rPr>
          <w:rFonts w:asciiTheme="majorBidi" w:hAnsiTheme="majorBidi" w:cstheme="majorBidi"/>
          <w:sz w:val="22"/>
          <w:szCs w:val="22"/>
        </w:rPr>
        <w:t>akan</w:t>
      </w:r>
      <w:proofErr w:type="gramEnd"/>
      <w:r w:rsidRPr="001C0C46">
        <w:rPr>
          <w:rFonts w:asciiTheme="majorBidi" w:hAnsiTheme="majorBidi" w:cstheme="majorBidi"/>
          <w:sz w:val="22"/>
          <w:szCs w:val="22"/>
        </w:rPr>
        <w:t xml:space="preserve"> diterima oleh pemilik saham dikemudian hari. Menurut Anoraga, harga saham adalah uang yang dikeluarkan untuk memperoleh bukti penyertaan atau kepemilikan suatu perusahaan.</w:t>
      </w:r>
      <w:r>
        <w:rPr>
          <w:sz w:val="22"/>
          <w:szCs w:val="22"/>
        </w:rPr>
        <w:t xml:space="preserve"> </w:t>
      </w:r>
      <w:r w:rsidRPr="001C0C46">
        <w:rPr>
          <w:rFonts w:asciiTheme="majorBidi" w:hAnsiTheme="majorBidi" w:cstheme="majorBidi"/>
          <w:sz w:val="22"/>
          <w:szCs w:val="22"/>
        </w:rPr>
        <w:t>Harga saham merupakan harga yang terbentuk di bursa efek dan selalu mengalami fluktuasi dari waktu ke waktu. Bila melihat return tahunan selama 2011 hingga 2015 (yeat to date), kinerja JII selalu dibawah IHGS. Ketika pasar saham sedang positif seperti tahun 2014, return JII hanya sebesar 18</w:t>
      </w:r>
      <w:proofErr w:type="gramStart"/>
      <w:r w:rsidRPr="001C0C46">
        <w:rPr>
          <w:rFonts w:asciiTheme="majorBidi" w:hAnsiTheme="majorBidi" w:cstheme="majorBidi"/>
          <w:sz w:val="22"/>
          <w:szCs w:val="22"/>
        </w:rPr>
        <w:t>,1</w:t>
      </w:r>
      <w:proofErr w:type="gramEnd"/>
      <w:r w:rsidRPr="001C0C46">
        <w:rPr>
          <w:rFonts w:asciiTheme="majorBidi" w:hAnsiTheme="majorBidi" w:cstheme="majorBidi"/>
          <w:sz w:val="22"/>
          <w:szCs w:val="22"/>
        </w:rPr>
        <w:t xml:space="preserve"> % dibandingkan IHGS yang naik 22,3%. Demikian pula jika pasar saham sedang mengalami tekanan seperti di tahun 2013 dan 2015, indeks JII malah mencatatkan return lebih rendah dibandingkan IHGS </w:t>
      </w:r>
      <w:r w:rsidRPr="001C0C46">
        <w:rPr>
          <w:rFonts w:asciiTheme="majorBidi" w:hAnsiTheme="majorBidi" w:cstheme="majorBidi"/>
          <w:sz w:val="22"/>
          <w:szCs w:val="22"/>
        </w:rPr>
        <w:fldChar w:fldCharType="begin" w:fldLock="1"/>
      </w:r>
      <w:r w:rsidRPr="001C0C46">
        <w:rPr>
          <w:rFonts w:asciiTheme="majorBidi" w:hAnsiTheme="majorBidi" w:cstheme="majorBidi"/>
          <w:sz w:val="22"/>
          <w:szCs w:val="22"/>
        </w:rPr>
        <w:instrText>ADDIN CSL_CITATION {"citationItems":[{"id":"ITEM-1","itemData":{"URL":"https://www.bareksa.com/id/text/2015/12/18/chart-of-the-day-5-tahun-terakhirkinerjakumpulan-saham-syariah-dibawah-ihsg/12224/news","accessed":{"date-parts":[["2019","4","28"]]},"author":[{"dropping-particle":"","family":"Winati","given":"Rini","non-dropping-particle":"","parse-names":false,"suffix":""}],"container-title":"Bareksa","id":"ITEM-1","issued":{"date-parts":[["2015"]]},"title":"5 Tahun terakhir Kinerja kumpulan Saham Syariah dibawah IHGS","type":"webpage"},"uris":["http://www.mendeley.com/documents/?uuid=ee19f460-0452-4a41-8a26-30f656316f7e"]}],"mendeley":{"formattedCitation":"(Winati, 2015)","plainTextFormattedCitation":"(Winati, 2015)","previouslyFormattedCitation":"(Winati, 2015)"},"properties":{"noteIndex":0},"schema":"https://github.com/citation-style-language/schema/raw/master/csl-citation.json"}</w:instrText>
      </w:r>
      <w:r w:rsidRPr="001C0C46">
        <w:rPr>
          <w:rFonts w:asciiTheme="majorBidi" w:hAnsiTheme="majorBidi" w:cstheme="majorBidi"/>
          <w:sz w:val="22"/>
          <w:szCs w:val="22"/>
        </w:rPr>
        <w:fldChar w:fldCharType="separate"/>
      </w:r>
      <w:r w:rsidRPr="001C0C46">
        <w:rPr>
          <w:rFonts w:asciiTheme="majorBidi" w:hAnsiTheme="majorBidi" w:cstheme="majorBidi"/>
          <w:noProof/>
          <w:sz w:val="22"/>
          <w:szCs w:val="22"/>
        </w:rPr>
        <w:t>(Winati, 2015)</w:t>
      </w:r>
      <w:r w:rsidRPr="001C0C46">
        <w:rPr>
          <w:rFonts w:asciiTheme="majorBidi" w:hAnsiTheme="majorBidi" w:cstheme="majorBidi"/>
          <w:sz w:val="22"/>
          <w:szCs w:val="22"/>
        </w:rPr>
        <w:fldChar w:fldCharType="end"/>
      </w:r>
      <w:r w:rsidRPr="001C0C46">
        <w:rPr>
          <w:rFonts w:asciiTheme="majorBidi" w:hAnsiTheme="majorBidi" w:cstheme="majorBidi"/>
          <w:sz w:val="22"/>
          <w:szCs w:val="22"/>
        </w:rPr>
        <w:t>. Sehingga dalam penelitian ini penulis tertarik untuk menganlisis sahamyang terdaftar di JII dari tahun 2013-2018.</w:t>
      </w:r>
    </w:p>
    <w:p w:rsidR="001C0C46" w:rsidRDefault="001C0C46" w:rsidP="001C0C46">
      <w:pPr>
        <w:spacing w:after="120"/>
        <w:ind w:firstLine="360"/>
        <w:jc w:val="both"/>
        <w:rPr>
          <w:sz w:val="22"/>
          <w:szCs w:val="22"/>
        </w:rPr>
      </w:pPr>
      <w:r w:rsidRPr="001C0C46">
        <w:rPr>
          <w:rFonts w:asciiTheme="majorBidi" w:hAnsiTheme="majorBidi" w:cstheme="majorBidi"/>
          <w:sz w:val="22"/>
          <w:szCs w:val="22"/>
        </w:rPr>
        <w:t xml:space="preserve">Sangat banyak Rasio keuangan dalam melakukan analisis fundamental, namun data yang-data dasar yang digunakan untuk investor dalam mengambil kebijakan dalam melakukan pembelian dan penjualan daham yaitu PBV (Price Book Value), EPS (Earning Per Share), DER (Debt to Equity Ratio), dan PER (Price Earning Ratio). </w:t>
      </w:r>
    </w:p>
    <w:p w:rsidR="006D68C4" w:rsidRDefault="001C0C46" w:rsidP="006D68C4">
      <w:pPr>
        <w:spacing w:after="120"/>
        <w:ind w:firstLine="360"/>
        <w:jc w:val="both"/>
        <w:rPr>
          <w:rFonts w:asciiTheme="majorBidi" w:hAnsiTheme="majorBidi" w:cstheme="majorBidi"/>
          <w:sz w:val="22"/>
          <w:szCs w:val="22"/>
        </w:rPr>
      </w:pPr>
      <w:r w:rsidRPr="001C0C46">
        <w:rPr>
          <w:rFonts w:asciiTheme="majorBidi" w:hAnsiTheme="majorBidi" w:cstheme="majorBidi"/>
          <w:i/>
          <w:iCs/>
          <w:sz w:val="22"/>
          <w:szCs w:val="22"/>
        </w:rPr>
        <w:t xml:space="preserve">Book Value </w:t>
      </w:r>
      <w:r w:rsidRPr="001C0C46">
        <w:rPr>
          <w:rFonts w:asciiTheme="majorBidi" w:hAnsiTheme="majorBidi" w:cstheme="majorBidi"/>
          <w:sz w:val="22"/>
          <w:szCs w:val="22"/>
        </w:rPr>
        <w:t xml:space="preserve">atau nilai suatu akiva perusahaan adalah aspek penting yang memberikan informasi tentang nilai perusahaan </w:t>
      </w:r>
      <w:r w:rsidRPr="001C0C46">
        <w:rPr>
          <w:rFonts w:asciiTheme="majorBidi" w:hAnsiTheme="majorBidi" w:cstheme="majorBidi"/>
          <w:sz w:val="22"/>
          <w:szCs w:val="22"/>
        </w:rPr>
        <w:fldChar w:fldCharType="begin" w:fldLock="1"/>
      </w:r>
      <w:r w:rsidRPr="001C0C46">
        <w:rPr>
          <w:rFonts w:asciiTheme="majorBidi" w:hAnsiTheme="majorBidi" w:cstheme="majorBidi"/>
          <w:sz w:val="22"/>
          <w:szCs w:val="22"/>
        </w:rPr>
        <w:instrText>ADDIN CSL_CITATION {"citationItems":[{"id":"ITEM-1","itemData":{"author":[{"dropping-particle":"","family":"Ahmad","given":"Ayoib Che","non-dropping-particle":"","parse-names":false,"suffix":""},{"dropping-particle":"","family":"Ishak","given":"Zuaini","non-dropping-particle":"","parse-names":false,"suffix":""}],"container-title":"Journal of Advanced Research in Business and Management Studies","id":"ITEM-1","issue":"1","issued":{"date-parts":[["2016"]]},"page":"85-93","title":"Akademia Baru Price to Book Value , Price to Sales Multiples and Stock Price ; Evidence from Nigerian Listed Firms","type":"article-journal","volume":"3"},"uris":["http://www.mendeley.com/documents/?uuid=6c814efc-99e9-4f5f-946c-5ee4584e3eda"]}],"mendeley":{"formattedCitation":"(Ahmad &amp; Ishak, 2016)","plainTextFormattedCitation":"(Ahmad &amp; Ishak, 2016)","previouslyFormattedCitation":"(Ahmad &amp; Ishak, 2016)"},"properties":{"noteIndex":0},"schema":"https://github.com/citation-style-language/schema/raw/master/csl-citation.json"}</w:instrText>
      </w:r>
      <w:r w:rsidRPr="001C0C46">
        <w:rPr>
          <w:rFonts w:asciiTheme="majorBidi" w:hAnsiTheme="majorBidi" w:cstheme="majorBidi"/>
          <w:sz w:val="22"/>
          <w:szCs w:val="22"/>
        </w:rPr>
        <w:fldChar w:fldCharType="separate"/>
      </w:r>
      <w:r w:rsidRPr="001C0C46">
        <w:rPr>
          <w:rFonts w:asciiTheme="majorBidi" w:hAnsiTheme="majorBidi" w:cstheme="majorBidi"/>
          <w:noProof/>
          <w:sz w:val="22"/>
          <w:szCs w:val="22"/>
        </w:rPr>
        <w:t>(Ahmad &amp; Ishak, 2016)</w:t>
      </w:r>
      <w:r w:rsidRPr="001C0C46">
        <w:rPr>
          <w:rFonts w:asciiTheme="majorBidi" w:hAnsiTheme="majorBidi" w:cstheme="majorBidi"/>
          <w:sz w:val="22"/>
          <w:szCs w:val="22"/>
        </w:rPr>
        <w:fldChar w:fldCharType="end"/>
      </w:r>
      <w:r w:rsidRPr="001C0C46">
        <w:rPr>
          <w:rFonts w:asciiTheme="majorBidi" w:hAnsiTheme="majorBidi" w:cstheme="majorBidi"/>
          <w:sz w:val="22"/>
          <w:szCs w:val="22"/>
        </w:rPr>
        <w:t>. Nilai buku (</w:t>
      </w:r>
      <w:r w:rsidRPr="001C0C46">
        <w:rPr>
          <w:rFonts w:asciiTheme="majorBidi" w:hAnsiTheme="majorBidi" w:cstheme="majorBidi"/>
          <w:i/>
          <w:iCs/>
          <w:sz w:val="22"/>
          <w:szCs w:val="22"/>
        </w:rPr>
        <w:t>book value</w:t>
      </w:r>
      <w:r w:rsidRPr="001C0C46">
        <w:rPr>
          <w:rFonts w:asciiTheme="majorBidi" w:hAnsiTheme="majorBidi" w:cstheme="majorBidi"/>
          <w:sz w:val="22"/>
          <w:szCs w:val="22"/>
        </w:rPr>
        <w:t>) per lembar saham menunjukkan aktiva bersih (</w:t>
      </w:r>
      <w:r w:rsidRPr="001C0C46">
        <w:rPr>
          <w:rFonts w:asciiTheme="majorBidi" w:hAnsiTheme="majorBidi" w:cstheme="majorBidi"/>
          <w:i/>
          <w:iCs/>
          <w:sz w:val="22"/>
          <w:szCs w:val="22"/>
        </w:rPr>
        <w:t>net asset</w:t>
      </w:r>
      <w:r w:rsidRPr="001C0C46">
        <w:rPr>
          <w:rFonts w:asciiTheme="majorBidi" w:hAnsiTheme="majorBidi" w:cstheme="majorBidi"/>
          <w:sz w:val="22"/>
          <w:szCs w:val="22"/>
        </w:rPr>
        <w:t xml:space="preserve">) yang dimiliki oleh pemegang saham dengan memiliki satu lembar saham. Karena aktiva bersih adalah sama dengan total ekuitas pemegang saham, maka nilai buku perlembar saham adalah total ekuitas dibagi dengan jumlah saham yang beredar </w:t>
      </w:r>
      <w:r w:rsidRPr="001C0C46">
        <w:rPr>
          <w:rFonts w:asciiTheme="majorBidi" w:hAnsiTheme="majorBidi" w:cstheme="majorBidi"/>
          <w:sz w:val="22"/>
          <w:szCs w:val="22"/>
        </w:rPr>
        <w:fldChar w:fldCharType="begin" w:fldLock="1"/>
      </w:r>
      <w:r w:rsidRPr="001C0C46">
        <w:rPr>
          <w:rFonts w:asciiTheme="majorBidi" w:hAnsiTheme="majorBidi" w:cstheme="majorBidi"/>
          <w:sz w:val="22"/>
          <w:szCs w:val="22"/>
        </w:rPr>
        <w:instrText>ADDIN CSL_CITATION {"citationItems":[{"id":"ITEM-1","itemData":{"author":[{"dropping-particle":"","family":"Jogiyanto","given":"","non-dropping-particle":"","parse-names":false,"suffix":""}],"id":"ITEM-1","issued":{"date-parts":[["2003"]]},"number-of-pages":"79","publisher":"BPFE","publisher-place":"Yogyakarta","title":"Teori Portofolio dan Analisis Investasi","type":"book"},"uris":["http://www.mendeley.com/documents/?uuid=d091c9da-cf17-4fef-a597-98c044d709f7"]}],"mendeley":{"formattedCitation":"(Jogiyanto, 2003)","plainTextFormattedCitation":"(Jogiyanto, 2003)","previouslyFormattedCitation":"(Jogiyanto, 2003)"},"properties":{"noteIndex":0},"schema":"https://github.com/citation-style-language/schema/raw/master/csl-citation.json"}</w:instrText>
      </w:r>
      <w:r w:rsidRPr="001C0C46">
        <w:rPr>
          <w:rFonts w:asciiTheme="majorBidi" w:hAnsiTheme="majorBidi" w:cstheme="majorBidi"/>
          <w:sz w:val="22"/>
          <w:szCs w:val="22"/>
        </w:rPr>
        <w:fldChar w:fldCharType="separate"/>
      </w:r>
      <w:r w:rsidRPr="001C0C46">
        <w:rPr>
          <w:rFonts w:asciiTheme="majorBidi" w:hAnsiTheme="majorBidi" w:cstheme="majorBidi"/>
          <w:noProof/>
          <w:sz w:val="22"/>
          <w:szCs w:val="22"/>
        </w:rPr>
        <w:t>(Jogiyanto, 2003)</w:t>
      </w:r>
      <w:r w:rsidRPr="001C0C46">
        <w:rPr>
          <w:rFonts w:asciiTheme="majorBidi" w:hAnsiTheme="majorBidi" w:cstheme="majorBidi"/>
          <w:sz w:val="22"/>
          <w:szCs w:val="22"/>
        </w:rPr>
        <w:fldChar w:fldCharType="end"/>
      </w:r>
      <w:r w:rsidRPr="001C0C46">
        <w:rPr>
          <w:rFonts w:asciiTheme="majorBidi" w:hAnsiTheme="majorBidi" w:cstheme="majorBidi"/>
          <w:sz w:val="22"/>
          <w:szCs w:val="22"/>
        </w:rPr>
        <w:t>.</w:t>
      </w:r>
    </w:p>
    <w:p w:rsidR="00381F2E" w:rsidRDefault="001C0C46" w:rsidP="00381F2E">
      <w:pPr>
        <w:spacing w:after="120"/>
        <w:ind w:firstLine="360"/>
        <w:jc w:val="both"/>
        <w:rPr>
          <w:rFonts w:asciiTheme="majorBidi" w:hAnsiTheme="majorBidi" w:cstheme="majorBidi"/>
          <w:sz w:val="22"/>
          <w:szCs w:val="22"/>
        </w:rPr>
      </w:pPr>
      <w:r>
        <w:rPr>
          <w:rFonts w:asciiTheme="majorBidi" w:hAnsiTheme="majorBidi" w:cstheme="majorBidi"/>
          <w:i/>
          <w:iCs/>
          <w:sz w:val="22"/>
          <w:szCs w:val="22"/>
        </w:rPr>
        <w:t xml:space="preserve">Price Book Value </w:t>
      </w:r>
      <w:r w:rsidRPr="001C0C46">
        <w:rPr>
          <w:rFonts w:asciiTheme="majorBidi" w:hAnsiTheme="majorBidi" w:cstheme="majorBidi"/>
          <w:sz w:val="22"/>
          <w:szCs w:val="22"/>
        </w:rPr>
        <w:t xml:space="preserve">berganda </w:t>
      </w:r>
      <w:r w:rsidRPr="006D68C4">
        <w:rPr>
          <w:rFonts w:asciiTheme="majorBidi" w:hAnsiTheme="majorBidi" w:cstheme="majorBidi"/>
          <w:sz w:val="22"/>
          <w:szCs w:val="22"/>
        </w:rPr>
        <w:t>dapat menurun atau meningkat melalui semua ekuitas, menghasilkan pengembalian saham yang lebih rendah atau lebih tinggi. Oleh karena itu, harga untuk nilai buku berganda memainkan peran penting dalam memperkirakan pengembali</w:t>
      </w:r>
      <w:r w:rsidR="006D68C4" w:rsidRPr="006D68C4">
        <w:rPr>
          <w:rFonts w:asciiTheme="majorBidi" w:hAnsiTheme="majorBidi" w:cstheme="majorBidi"/>
          <w:sz w:val="22"/>
          <w:szCs w:val="22"/>
        </w:rPr>
        <w:t xml:space="preserve">an saham perusahaan </w:t>
      </w:r>
      <w:r w:rsidR="006D68C4" w:rsidRPr="006D68C4">
        <w:rPr>
          <w:rFonts w:asciiTheme="majorBidi" w:hAnsiTheme="majorBidi" w:cstheme="majorBidi"/>
          <w:sz w:val="22"/>
          <w:szCs w:val="22"/>
        </w:rPr>
        <w:fldChar w:fldCharType="begin" w:fldLock="1"/>
      </w:r>
      <w:r w:rsidR="006D68C4" w:rsidRPr="006D68C4">
        <w:rPr>
          <w:rFonts w:asciiTheme="majorBidi" w:hAnsiTheme="majorBidi" w:cstheme="majorBidi"/>
          <w:sz w:val="22"/>
          <w:szCs w:val="22"/>
        </w:rPr>
        <w:instrText>ADDIN CSL_CITATION {"citationItems":[{"id":"ITEM-1","itemData":{"author":[{"dropping-particle":"","family":"Shittu","given":"I","non-dropping-particle":"","parse-names":false,"suffix":""},{"dropping-particle":"","family":"Ahmad","given":"A C","non-dropping-particle":"","parse-names":false,"suffix":""},{"dropping-particle":"","family":"Ishak","given":"Z","non-dropping-particle":"","parse-names":false,"suffix":""}],"container-title":"Journal of Advanced Research in Business and Management Studies","id":"ITEM-1","issue":"1","issued":{"date-parts":[["2016"]]},"page":"85-93","title":"Akademia Baru Price to Book Value , Price to Sales Multiples and Stock Price ; Evidence from Nigerian Listed Firms Akademia Baru","type":"article-journal","volume":"3"},"uris":["http://www.mendeley.com/documents/?uuid=daf3697a-ad20-459a-a044-e641f7b0a527"]}],"mendeley":{"formattedCitation":"(Shittu, Ahmad, &amp; Ishak, 2016)","plainTextFormattedCitation":"(Shittu, Ahmad, &amp; Ishak, 2016)","previouslyFormattedCitation":"(Shittu, Ahmad, &amp; Ishak, 2016)"},"properties":{"noteIndex":0},"schema":"https://github.com/citation-style-language/schema/raw/master/csl-citation.json"}</w:instrText>
      </w:r>
      <w:r w:rsidR="006D68C4" w:rsidRPr="006D68C4">
        <w:rPr>
          <w:rFonts w:asciiTheme="majorBidi" w:hAnsiTheme="majorBidi" w:cstheme="majorBidi"/>
          <w:sz w:val="22"/>
          <w:szCs w:val="22"/>
        </w:rPr>
        <w:fldChar w:fldCharType="separate"/>
      </w:r>
      <w:r w:rsidR="006D68C4" w:rsidRPr="006D68C4">
        <w:rPr>
          <w:rFonts w:asciiTheme="majorBidi" w:hAnsiTheme="majorBidi" w:cstheme="majorBidi"/>
          <w:noProof/>
          <w:sz w:val="22"/>
          <w:szCs w:val="22"/>
        </w:rPr>
        <w:t>(Shittu, Ahmad, &amp; Ishak, 2016)</w:t>
      </w:r>
      <w:r w:rsidR="006D68C4" w:rsidRPr="006D68C4">
        <w:rPr>
          <w:rFonts w:asciiTheme="majorBidi" w:hAnsiTheme="majorBidi" w:cstheme="majorBidi"/>
          <w:sz w:val="22"/>
          <w:szCs w:val="22"/>
        </w:rPr>
        <w:fldChar w:fldCharType="end"/>
      </w:r>
      <w:r w:rsidR="006D68C4" w:rsidRPr="006D68C4">
        <w:rPr>
          <w:rFonts w:asciiTheme="majorBidi" w:hAnsiTheme="majorBidi" w:cstheme="majorBidi"/>
          <w:sz w:val="22"/>
          <w:szCs w:val="22"/>
        </w:rPr>
        <w:t xml:space="preserve">. Nilai pasar adalah nilai saham dipasar, yang ditunjukkan oleh harga saham tersebut dipasar </w:t>
      </w:r>
      <w:r w:rsidR="006D68C4" w:rsidRPr="006D68C4">
        <w:rPr>
          <w:rFonts w:asciiTheme="majorBidi" w:hAnsiTheme="majorBidi" w:cstheme="majorBidi"/>
          <w:sz w:val="22"/>
          <w:szCs w:val="22"/>
        </w:rPr>
        <w:fldChar w:fldCharType="begin" w:fldLock="1"/>
      </w:r>
      <w:r w:rsidR="00381F2E">
        <w:rPr>
          <w:rFonts w:asciiTheme="majorBidi" w:hAnsiTheme="majorBidi" w:cstheme="majorBidi"/>
          <w:sz w:val="22"/>
          <w:szCs w:val="22"/>
        </w:rPr>
        <w:instrText>ADDIN CSL_CITATION {"citationItems":[{"id":"ITEM-1","itemData":{"author":[{"dropping-particle":"","family":"Eduardus Tandelilin","given":"","non-dropping-particle":"","parse-names":false,"suffix":""}],"edition":"Edisi Pert","id":"ITEM-1","issued":{"date-parts":[["2010"]]},"number-of-pages":"363","publisher":"Kanisius","publisher-place":"Yogyakarta","title":"No Portofolio dan Investasi Teori dan Aplikasi","type":"book"},"uris":["http://www.mendeley.com/documents/?uuid=92ad57e9-002b-4b6c-8174-fb5a4f240d57"]}],"mendeley":{"formattedCitation":"(Eduardus Tandelilin, 2010)","plainTextFormattedCitation":"(Eduardus Tandelilin, 2010)","previouslyFormattedCitation":"(Eduardus Tandelilin, 2010)"},"properties":{"noteIndex":0},"schema":"https://github.com/citation-style-language/schema/raw/master/csl-citation.json"}</w:instrText>
      </w:r>
      <w:r w:rsidR="006D68C4" w:rsidRPr="006D68C4">
        <w:rPr>
          <w:rFonts w:asciiTheme="majorBidi" w:hAnsiTheme="majorBidi" w:cstheme="majorBidi"/>
          <w:sz w:val="22"/>
          <w:szCs w:val="22"/>
        </w:rPr>
        <w:fldChar w:fldCharType="separate"/>
      </w:r>
      <w:r w:rsidR="006D68C4" w:rsidRPr="006D68C4">
        <w:rPr>
          <w:rFonts w:asciiTheme="majorBidi" w:hAnsiTheme="majorBidi" w:cstheme="majorBidi"/>
          <w:noProof/>
          <w:sz w:val="22"/>
          <w:szCs w:val="22"/>
        </w:rPr>
        <w:t>(Eduardus Tandelilin, 2010)</w:t>
      </w:r>
      <w:r w:rsidR="006D68C4" w:rsidRPr="006D68C4">
        <w:rPr>
          <w:rFonts w:asciiTheme="majorBidi" w:hAnsiTheme="majorBidi" w:cstheme="majorBidi"/>
          <w:sz w:val="22"/>
          <w:szCs w:val="22"/>
        </w:rPr>
        <w:fldChar w:fldCharType="end"/>
      </w:r>
      <w:r w:rsidR="006D68C4" w:rsidRPr="006D68C4">
        <w:rPr>
          <w:rFonts w:asciiTheme="majorBidi" w:hAnsiTheme="majorBidi" w:cstheme="majorBidi"/>
          <w:sz w:val="22"/>
          <w:szCs w:val="22"/>
        </w:rPr>
        <w:t xml:space="preserve">. </w:t>
      </w:r>
      <w:r w:rsidR="006D68C4" w:rsidRPr="006D68C4">
        <w:rPr>
          <w:rFonts w:asciiTheme="majorBidi" w:hAnsiTheme="majorBidi" w:cstheme="majorBidi"/>
          <w:i/>
          <w:iCs/>
          <w:sz w:val="22"/>
          <w:szCs w:val="22"/>
        </w:rPr>
        <w:t xml:space="preserve">Price Book Value </w:t>
      </w:r>
      <w:r w:rsidR="006D68C4" w:rsidRPr="006D68C4">
        <w:rPr>
          <w:rFonts w:asciiTheme="majorBidi" w:hAnsiTheme="majorBidi" w:cstheme="majorBidi"/>
          <w:sz w:val="22"/>
          <w:szCs w:val="22"/>
        </w:rPr>
        <w:t>(PBV) merupakan rasio yang menunjukkan seberapa jauh suatu perusahaan mampu menciptakan nilai perusahaan relatif terhadap jumlah modal yang diinvestasikan</w:t>
      </w:r>
      <w:r w:rsidR="006D68C4">
        <w:rPr>
          <w:rFonts w:asciiTheme="majorBidi" w:hAnsiTheme="majorBidi" w:cstheme="majorBidi"/>
          <w:sz w:val="22"/>
          <w:szCs w:val="22"/>
        </w:rPr>
        <w:t>.</w:t>
      </w:r>
    </w:p>
    <w:p w:rsidR="00381F2E" w:rsidRDefault="006D68C4" w:rsidP="00381F2E">
      <w:pPr>
        <w:spacing w:after="120"/>
        <w:ind w:firstLine="360"/>
        <w:jc w:val="both"/>
        <w:rPr>
          <w:rFonts w:asciiTheme="majorBidi" w:hAnsiTheme="majorBidi" w:cstheme="majorBidi"/>
          <w:sz w:val="22"/>
          <w:szCs w:val="22"/>
        </w:rPr>
      </w:pPr>
      <w:r w:rsidRPr="006D68C4">
        <w:rPr>
          <w:sz w:val="22"/>
          <w:szCs w:val="22"/>
        </w:rPr>
        <w:t xml:space="preserve">Komponen yang penting yang harus diperhatikan dalam analisis perusahaan adalah laba perlembar saham atau lebih dikenal dengan </w:t>
      </w:r>
      <w:r w:rsidRPr="00381F2E">
        <w:rPr>
          <w:i/>
          <w:iCs/>
          <w:sz w:val="22"/>
          <w:szCs w:val="22"/>
        </w:rPr>
        <w:t>earning per share</w:t>
      </w:r>
      <w:r w:rsidRPr="006D68C4">
        <w:rPr>
          <w:sz w:val="22"/>
          <w:szCs w:val="22"/>
        </w:rPr>
        <w:t xml:space="preserve"> (EPS)</w:t>
      </w:r>
      <w:r w:rsidR="00381F2E">
        <w:rPr>
          <w:sz w:val="22"/>
          <w:szCs w:val="22"/>
        </w:rPr>
        <w:t xml:space="preserve"> </w:t>
      </w:r>
      <w:r w:rsidR="00381F2E">
        <w:rPr>
          <w:sz w:val="22"/>
          <w:szCs w:val="22"/>
        </w:rPr>
        <w:fldChar w:fldCharType="begin" w:fldLock="1"/>
      </w:r>
      <w:r w:rsidR="00305883">
        <w:rPr>
          <w:sz w:val="22"/>
          <w:szCs w:val="22"/>
        </w:rPr>
        <w:instrText>ADDIN CSL_CITATION {"citationItems":[{"id":"ITEM-1","itemData":{"author":[{"dropping-particle":"","family":"Eduardus Tandelilin","given":"","non-dropping-particle":"","parse-names":false,"suffix":""}],"edition":"Edisi Pert","id":"ITEM-1","issued":{"date-parts":[["2010"]]},"number-of-pages":"363","publisher":"Kanisius","publisher-place":"Yogyakarta","title":"No Portofolio dan Investasi Teori dan Aplikasi","type":"book"},"uris":["http://www.mendeley.com/documents/?uuid=92ad57e9-002b-4b6c-8174-fb5a4f240d57"]}],"mendeley":{"formattedCitation":"(Eduardus Tandelilin, 2010)","plainTextFormattedCitation":"(Eduardus Tandelilin, 2010)","previouslyFormattedCitation":"(Eduardus Tandelilin, 2010)"},"properties":{"noteIndex":0},"schema":"https://github.com/citation-style-language/schema/raw/master/csl-citation.json"}</w:instrText>
      </w:r>
      <w:r w:rsidR="00381F2E">
        <w:rPr>
          <w:sz w:val="22"/>
          <w:szCs w:val="22"/>
        </w:rPr>
        <w:fldChar w:fldCharType="separate"/>
      </w:r>
      <w:r w:rsidR="00381F2E" w:rsidRPr="00381F2E">
        <w:rPr>
          <w:noProof/>
          <w:sz w:val="22"/>
          <w:szCs w:val="22"/>
        </w:rPr>
        <w:t>(Eduardus Tandelilin, 2010)</w:t>
      </w:r>
      <w:r w:rsidR="00381F2E">
        <w:rPr>
          <w:sz w:val="22"/>
          <w:szCs w:val="22"/>
        </w:rPr>
        <w:fldChar w:fldCharType="end"/>
      </w:r>
      <w:r w:rsidR="00381F2E">
        <w:rPr>
          <w:sz w:val="22"/>
          <w:szCs w:val="22"/>
        </w:rPr>
        <w:t xml:space="preserve">. </w:t>
      </w:r>
      <w:proofErr w:type="gramStart"/>
      <w:r w:rsidR="00381F2E" w:rsidRPr="00381F2E">
        <w:rPr>
          <w:sz w:val="22"/>
          <w:szCs w:val="22"/>
        </w:rPr>
        <w:t>apabila</w:t>
      </w:r>
      <w:proofErr w:type="gramEnd"/>
      <w:r w:rsidR="00381F2E" w:rsidRPr="00381F2E">
        <w:rPr>
          <w:sz w:val="22"/>
          <w:szCs w:val="22"/>
        </w:rPr>
        <w:t xml:space="preserve"> Earnings per Share (EPS) perusahaan tinggi, akan semakin banyak investor yang mau membeli saham tersebut sehingga menyebabkan harga saham akan tinggi</w:t>
      </w:r>
      <w:r w:rsidR="00381F2E">
        <w:rPr>
          <w:sz w:val="22"/>
          <w:szCs w:val="22"/>
        </w:rPr>
        <w:t xml:space="preserve">. </w:t>
      </w:r>
    </w:p>
    <w:p w:rsidR="00381F2E" w:rsidRDefault="00381F2E" w:rsidP="00381F2E">
      <w:pPr>
        <w:spacing w:after="120"/>
        <w:ind w:firstLine="360"/>
        <w:jc w:val="both"/>
        <w:rPr>
          <w:sz w:val="22"/>
          <w:szCs w:val="22"/>
        </w:rPr>
      </w:pPr>
      <w:r w:rsidRPr="00381F2E">
        <w:rPr>
          <w:i/>
          <w:sz w:val="22"/>
          <w:szCs w:val="22"/>
        </w:rPr>
        <w:t xml:space="preserve">Debt to Equity Ratio </w:t>
      </w:r>
      <w:r>
        <w:rPr>
          <w:iCs/>
          <w:sz w:val="22"/>
          <w:szCs w:val="22"/>
        </w:rPr>
        <w:t xml:space="preserve">(DER) </w:t>
      </w:r>
      <w:r w:rsidRPr="00381F2E">
        <w:rPr>
          <w:sz w:val="22"/>
          <w:szCs w:val="22"/>
        </w:rPr>
        <w:t xml:space="preserve">dipergunakan untuk mengukur tingkat penggunaan hutang terhadap total shareholders’equity yang dimiliki perusahaan. </w:t>
      </w:r>
      <w:r w:rsidRPr="00381F2E">
        <w:rPr>
          <w:i/>
          <w:sz w:val="22"/>
          <w:szCs w:val="22"/>
        </w:rPr>
        <w:t xml:space="preserve">Total debt </w:t>
      </w:r>
      <w:r w:rsidRPr="00381F2E">
        <w:rPr>
          <w:sz w:val="22"/>
          <w:szCs w:val="22"/>
        </w:rPr>
        <w:t xml:space="preserve">merupakan total liabilities (jangka pendek/ jangka panjang), sedangkan total </w:t>
      </w:r>
      <w:r w:rsidRPr="00381F2E">
        <w:rPr>
          <w:i/>
          <w:sz w:val="22"/>
          <w:szCs w:val="22"/>
        </w:rPr>
        <w:t>shareholderequity</w:t>
      </w:r>
      <w:r w:rsidRPr="00381F2E">
        <w:rPr>
          <w:sz w:val="22"/>
          <w:szCs w:val="22"/>
        </w:rPr>
        <w:t xml:space="preserve"> menunjukkan total modal sendiri yang dimiliki perusahaan</w:t>
      </w:r>
      <w:r>
        <w:rPr>
          <w:sz w:val="22"/>
          <w:szCs w:val="22"/>
        </w:rPr>
        <w:t xml:space="preserve">. </w:t>
      </w:r>
      <w:r w:rsidRPr="00381F2E">
        <w:rPr>
          <w:bCs/>
          <w:i/>
          <w:sz w:val="22"/>
          <w:szCs w:val="22"/>
        </w:rPr>
        <w:t xml:space="preserve">Price Earning Ratio </w:t>
      </w:r>
      <w:r w:rsidRPr="00381F2E">
        <w:rPr>
          <w:bCs/>
          <w:sz w:val="22"/>
          <w:szCs w:val="22"/>
        </w:rPr>
        <w:t xml:space="preserve">(PER) atau juga disebut sebagai </w:t>
      </w:r>
      <w:r w:rsidRPr="00381F2E">
        <w:rPr>
          <w:bCs/>
          <w:i/>
          <w:sz w:val="22"/>
          <w:szCs w:val="22"/>
        </w:rPr>
        <w:t>earning multiplier</w:t>
      </w:r>
      <w:r w:rsidRPr="00381F2E">
        <w:rPr>
          <w:bCs/>
          <w:sz w:val="22"/>
          <w:szCs w:val="22"/>
        </w:rPr>
        <w:t xml:space="preserve"> merupakan komponen penting lainnya dalam analisis perusahaan</w:t>
      </w:r>
      <w:r>
        <w:rPr>
          <w:sz w:val="22"/>
          <w:szCs w:val="22"/>
        </w:rPr>
        <w:t>.</w:t>
      </w:r>
    </w:p>
    <w:p w:rsidR="00381F2E" w:rsidRDefault="001C0C46" w:rsidP="00381F2E">
      <w:pPr>
        <w:spacing w:after="120"/>
        <w:ind w:firstLine="360"/>
        <w:jc w:val="both"/>
        <w:rPr>
          <w:rFonts w:asciiTheme="majorBidi" w:hAnsiTheme="majorBidi" w:cstheme="majorBidi"/>
          <w:sz w:val="22"/>
          <w:szCs w:val="22"/>
        </w:rPr>
      </w:pPr>
      <w:r w:rsidRPr="001C0C46">
        <w:rPr>
          <w:rFonts w:asciiTheme="majorBidi" w:hAnsiTheme="majorBidi" w:cstheme="majorBidi"/>
          <w:sz w:val="22"/>
          <w:szCs w:val="22"/>
        </w:rPr>
        <w:t>Indeks yang dipilih adalah Indeks Jakarta Islamic Index karena indeks ini merupakan indeks syariah yang karakter fundamentalnya baik, kapitalisasi besar, dan juga likuid.</w:t>
      </w:r>
      <w:r w:rsidR="00381F2E">
        <w:rPr>
          <w:rFonts w:asciiTheme="majorBidi" w:hAnsiTheme="majorBidi" w:cstheme="majorBidi"/>
          <w:sz w:val="22"/>
          <w:szCs w:val="22"/>
        </w:rPr>
        <w:t xml:space="preserve"> Dengan menghitung BV, PBV, EPS</w:t>
      </w:r>
      <w:proofErr w:type="gramStart"/>
      <w:r w:rsidR="00381F2E">
        <w:rPr>
          <w:rFonts w:asciiTheme="majorBidi" w:hAnsiTheme="majorBidi" w:cstheme="majorBidi"/>
          <w:sz w:val="22"/>
          <w:szCs w:val="22"/>
        </w:rPr>
        <w:t>,  DER</w:t>
      </w:r>
      <w:proofErr w:type="gramEnd"/>
      <w:r w:rsidR="00381F2E">
        <w:rPr>
          <w:rFonts w:asciiTheme="majorBidi" w:hAnsiTheme="majorBidi" w:cstheme="majorBidi"/>
          <w:sz w:val="22"/>
          <w:szCs w:val="22"/>
        </w:rPr>
        <w:t xml:space="preserve"> dan PER terhadap harga saham, sehingga hipotesis dalam penelitian ini sebagai berikut:</w:t>
      </w:r>
    </w:p>
    <w:p w:rsidR="00381F2E" w:rsidRDefault="00381F2E" w:rsidP="00381F2E">
      <w:pPr>
        <w:spacing w:after="120"/>
        <w:ind w:firstLine="360"/>
        <w:jc w:val="both"/>
        <w:rPr>
          <w:rStyle w:val="tlid-translation"/>
          <w:rFonts w:asciiTheme="majorBidi" w:hAnsiTheme="majorBidi" w:cstheme="majorBidi"/>
          <w:sz w:val="22"/>
          <w:szCs w:val="22"/>
        </w:rPr>
      </w:pPr>
      <w:r>
        <w:rPr>
          <w:rStyle w:val="tlid-translation"/>
          <w:rFonts w:asciiTheme="majorBidi" w:hAnsiTheme="majorBidi" w:cstheme="majorBidi"/>
          <w:szCs w:val="24"/>
        </w:rPr>
        <w:t xml:space="preserve">H1 </w:t>
      </w:r>
      <w:r>
        <w:rPr>
          <w:rStyle w:val="tlid-translation"/>
          <w:rFonts w:asciiTheme="majorBidi" w:hAnsiTheme="majorBidi" w:cstheme="majorBidi"/>
          <w:i/>
          <w:iCs/>
          <w:szCs w:val="24"/>
        </w:rPr>
        <w:t xml:space="preserve">Book Value </w:t>
      </w:r>
      <w:r>
        <w:rPr>
          <w:rStyle w:val="tlid-translation"/>
          <w:rFonts w:asciiTheme="majorBidi" w:hAnsiTheme="majorBidi" w:cstheme="majorBidi"/>
          <w:szCs w:val="24"/>
        </w:rPr>
        <w:t>(BV</w:t>
      </w:r>
      <w:proofErr w:type="gramStart"/>
      <w:r>
        <w:rPr>
          <w:rStyle w:val="tlid-translation"/>
          <w:rFonts w:asciiTheme="majorBidi" w:hAnsiTheme="majorBidi" w:cstheme="majorBidi"/>
          <w:szCs w:val="24"/>
        </w:rPr>
        <w:t>)  berpengaruh</w:t>
      </w:r>
      <w:proofErr w:type="gramEnd"/>
      <w:r>
        <w:rPr>
          <w:rStyle w:val="tlid-translation"/>
          <w:rFonts w:asciiTheme="majorBidi" w:hAnsiTheme="majorBidi" w:cstheme="majorBidi"/>
          <w:szCs w:val="24"/>
        </w:rPr>
        <w:t xml:space="preserve"> terhadap Harga Saham </w:t>
      </w:r>
    </w:p>
    <w:p w:rsidR="00381F2E" w:rsidRDefault="00381F2E" w:rsidP="00381F2E">
      <w:pPr>
        <w:spacing w:after="120"/>
        <w:ind w:firstLine="360"/>
        <w:jc w:val="both"/>
        <w:rPr>
          <w:rStyle w:val="tlid-translation"/>
          <w:rFonts w:asciiTheme="majorBidi" w:hAnsiTheme="majorBidi" w:cstheme="majorBidi"/>
          <w:sz w:val="22"/>
          <w:szCs w:val="22"/>
        </w:rPr>
      </w:pPr>
      <w:r>
        <w:rPr>
          <w:rStyle w:val="tlid-translation"/>
          <w:rFonts w:asciiTheme="majorBidi" w:hAnsiTheme="majorBidi" w:cstheme="majorBidi"/>
          <w:szCs w:val="24"/>
        </w:rPr>
        <w:t xml:space="preserve">H2 </w:t>
      </w:r>
      <w:r>
        <w:rPr>
          <w:rStyle w:val="tlid-translation"/>
          <w:rFonts w:asciiTheme="majorBidi" w:hAnsiTheme="majorBidi" w:cstheme="majorBidi"/>
          <w:i/>
          <w:iCs/>
          <w:szCs w:val="24"/>
        </w:rPr>
        <w:t xml:space="preserve">Price Book Value </w:t>
      </w:r>
      <w:r>
        <w:rPr>
          <w:rStyle w:val="tlid-translation"/>
          <w:rFonts w:asciiTheme="majorBidi" w:hAnsiTheme="majorBidi" w:cstheme="majorBidi"/>
          <w:szCs w:val="24"/>
        </w:rPr>
        <w:t>(PBV)</w:t>
      </w:r>
      <w:r>
        <w:rPr>
          <w:rStyle w:val="tlid-translation"/>
          <w:rFonts w:asciiTheme="majorBidi" w:hAnsiTheme="majorBidi" w:cstheme="majorBidi"/>
          <w:i/>
          <w:iCs/>
          <w:szCs w:val="24"/>
        </w:rPr>
        <w:t xml:space="preserve"> </w:t>
      </w:r>
      <w:r>
        <w:rPr>
          <w:rStyle w:val="tlid-translation"/>
          <w:rFonts w:asciiTheme="majorBidi" w:hAnsiTheme="majorBidi" w:cstheme="majorBidi"/>
          <w:szCs w:val="24"/>
        </w:rPr>
        <w:t xml:space="preserve">berpengaruh terhadap Harga Saham </w:t>
      </w:r>
    </w:p>
    <w:p w:rsidR="00381F2E" w:rsidRDefault="00381F2E" w:rsidP="00381F2E">
      <w:pPr>
        <w:spacing w:after="120"/>
        <w:ind w:firstLine="360"/>
        <w:jc w:val="both"/>
        <w:rPr>
          <w:rStyle w:val="tlid-translation"/>
          <w:rFonts w:asciiTheme="majorBidi" w:hAnsiTheme="majorBidi" w:cstheme="majorBidi"/>
          <w:sz w:val="22"/>
          <w:szCs w:val="22"/>
        </w:rPr>
      </w:pPr>
      <w:r>
        <w:rPr>
          <w:rStyle w:val="tlid-translation"/>
          <w:rFonts w:asciiTheme="majorBidi" w:hAnsiTheme="majorBidi" w:cstheme="majorBidi"/>
          <w:szCs w:val="24"/>
        </w:rPr>
        <w:t xml:space="preserve">H3 </w:t>
      </w:r>
      <w:r>
        <w:rPr>
          <w:rStyle w:val="tlid-translation"/>
          <w:rFonts w:asciiTheme="majorBidi" w:hAnsiTheme="majorBidi" w:cstheme="majorBidi"/>
          <w:i/>
          <w:iCs/>
          <w:szCs w:val="24"/>
        </w:rPr>
        <w:t xml:space="preserve">Earning </w:t>
      </w:r>
      <w:proofErr w:type="gramStart"/>
      <w:r>
        <w:rPr>
          <w:rStyle w:val="tlid-translation"/>
          <w:rFonts w:asciiTheme="majorBidi" w:hAnsiTheme="majorBidi" w:cstheme="majorBidi"/>
          <w:i/>
          <w:iCs/>
          <w:szCs w:val="24"/>
        </w:rPr>
        <w:t>Per</w:t>
      </w:r>
      <w:proofErr w:type="gramEnd"/>
      <w:r>
        <w:rPr>
          <w:rStyle w:val="tlid-translation"/>
          <w:rFonts w:asciiTheme="majorBidi" w:hAnsiTheme="majorBidi" w:cstheme="majorBidi"/>
          <w:i/>
          <w:iCs/>
          <w:szCs w:val="24"/>
        </w:rPr>
        <w:t xml:space="preserve"> Share </w:t>
      </w:r>
      <w:r>
        <w:rPr>
          <w:rStyle w:val="tlid-translation"/>
          <w:rFonts w:asciiTheme="majorBidi" w:hAnsiTheme="majorBidi" w:cstheme="majorBidi"/>
          <w:szCs w:val="24"/>
        </w:rPr>
        <w:t xml:space="preserve">(EPS) berpengaruh terhadap Harga Saham </w:t>
      </w:r>
    </w:p>
    <w:p w:rsidR="00381F2E" w:rsidRDefault="00381F2E" w:rsidP="00381F2E">
      <w:pPr>
        <w:spacing w:after="120"/>
        <w:ind w:firstLine="360"/>
        <w:jc w:val="both"/>
        <w:rPr>
          <w:rStyle w:val="tlid-translation"/>
          <w:rFonts w:asciiTheme="majorBidi" w:hAnsiTheme="majorBidi" w:cstheme="majorBidi"/>
          <w:sz w:val="22"/>
          <w:szCs w:val="22"/>
        </w:rPr>
      </w:pPr>
      <w:r>
        <w:rPr>
          <w:rStyle w:val="tlid-translation"/>
          <w:rFonts w:asciiTheme="majorBidi" w:hAnsiTheme="majorBidi" w:cstheme="majorBidi"/>
          <w:szCs w:val="24"/>
        </w:rPr>
        <w:t xml:space="preserve">H4 </w:t>
      </w:r>
      <w:r>
        <w:rPr>
          <w:rStyle w:val="tlid-translation"/>
          <w:rFonts w:asciiTheme="majorBidi" w:hAnsiTheme="majorBidi" w:cstheme="majorBidi"/>
          <w:i/>
          <w:iCs/>
          <w:szCs w:val="24"/>
        </w:rPr>
        <w:t xml:space="preserve">Debt to Equity Ratio </w:t>
      </w:r>
      <w:r>
        <w:rPr>
          <w:rStyle w:val="tlid-translation"/>
          <w:rFonts w:asciiTheme="majorBidi" w:hAnsiTheme="majorBidi" w:cstheme="majorBidi"/>
          <w:szCs w:val="24"/>
        </w:rPr>
        <w:t xml:space="preserve">(DER) berpengaruh terhadap Harga Saham </w:t>
      </w:r>
    </w:p>
    <w:p w:rsidR="001C0C46" w:rsidRDefault="00381F2E" w:rsidP="00381F2E">
      <w:pPr>
        <w:spacing w:after="120"/>
        <w:ind w:firstLine="360"/>
        <w:jc w:val="both"/>
        <w:rPr>
          <w:rStyle w:val="tlid-translation"/>
          <w:rFonts w:asciiTheme="majorBidi" w:hAnsiTheme="majorBidi" w:cstheme="majorBidi"/>
          <w:sz w:val="22"/>
          <w:szCs w:val="22"/>
        </w:rPr>
      </w:pPr>
      <w:r>
        <w:rPr>
          <w:rStyle w:val="tlid-translation"/>
          <w:rFonts w:asciiTheme="majorBidi" w:hAnsiTheme="majorBidi" w:cstheme="majorBidi"/>
          <w:szCs w:val="24"/>
        </w:rPr>
        <w:t xml:space="preserve">H5 </w:t>
      </w:r>
      <w:r>
        <w:rPr>
          <w:rStyle w:val="tlid-translation"/>
          <w:rFonts w:asciiTheme="majorBidi" w:hAnsiTheme="majorBidi" w:cstheme="majorBidi"/>
          <w:i/>
          <w:iCs/>
          <w:szCs w:val="24"/>
        </w:rPr>
        <w:t xml:space="preserve">Price to Equity Ratio </w:t>
      </w:r>
      <w:r>
        <w:rPr>
          <w:rStyle w:val="tlid-translation"/>
          <w:rFonts w:asciiTheme="majorBidi" w:hAnsiTheme="majorBidi" w:cstheme="majorBidi"/>
          <w:szCs w:val="24"/>
        </w:rPr>
        <w:t>(PER) berpengaruh terhadap Harga Saham</w:t>
      </w:r>
    </w:p>
    <w:p w:rsidR="00381F2E" w:rsidRPr="00381F2E" w:rsidRDefault="00381F2E" w:rsidP="00381F2E">
      <w:pPr>
        <w:spacing w:after="120"/>
        <w:ind w:firstLine="360"/>
        <w:jc w:val="both"/>
        <w:rPr>
          <w:rFonts w:asciiTheme="majorBidi" w:hAnsiTheme="majorBidi" w:cstheme="majorBidi"/>
          <w:sz w:val="22"/>
          <w:szCs w:val="22"/>
        </w:rPr>
      </w:pPr>
    </w:p>
    <w:p w:rsidR="006459CF" w:rsidRPr="001C0C46" w:rsidRDefault="006459CF" w:rsidP="004B7814">
      <w:pPr>
        <w:pStyle w:val="Heading1"/>
        <w:numPr>
          <w:ilvl w:val="0"/>
          <w:numId w:val="6"/>
        </w:numPr>
        <w:suppressAutoHyphens/>
        <w:spacing w:after="60"/>
        <w:ind w:left="360"/>
        <w:rPr>
          <w:i w:val="0"/>
          <w:sz w:val="22"/>
          <w:szCs w:val="22"/>
        </w:rPr>
      </w:pPr>
      <w:r w:rsidRPr="001C0C46">
        <w:rPr>
          <w:i w:val="0"/>
          <w:sz w:val="22"/>
          <w:szCs w:val="22"/>
        </w:rPr>
        <w:t>METODE PENELITIAN</w:t>
      </w:r>
    </w:p>
    <w:p w:rsidR="00381F2E" w:rsidRDefault="00381F2E" w:rsidP="00381F2E">
      <w:pPr>
        <w:spacing w:after="240"/>
        <w:jc w:val="both"/>
        <w:rPr>
          <w:sz w:val="22"/>
          <w:szCs w:val="22"/>
        </w:rPr>
      </w:pPr>
      <w:r>
        <w:rPr>
          <w:sz w:val="22"/>
          <w:szCs w:val="22"/>
        </w:rPr>
        <w:t>2.1 Sumber dan Jenis Data</w:t>
      </w:r>
    </w:p>
    <w:p w:rsidR="00381F2E" w:rsidRPr="00381F2E" w:rsidRDefault="00381F2E" w:rsidP="00381F2E">
      <w:pPr>
        <w:spacing w:after="240"/>
        <w:ind w:firstLine="426"/>
        <w:jc w:val="both"/>
        <w:rPr>
          <w:sz w:val="22"/>
          <w:szCs w:val="22"/>
        </w:rPr>
      </w:pPr>
      <w:r w:rsidRPr="00381F2E">
        <w:rPr>
          <w:rFonts w:asciiTheme="majorBidi" w:hAnsiTheme="majorBidi" w:cstheme="majorBidi"/>
          <w:iCs/>
          <w:sz w:val="22"/>
          <w:szCs w:val="22"/>
        </w:rPr>
        <w:t xml:space="preserve">Data yang digunakan dalam penelitian ini adalah data sekunder yang dikumpulkan dan diolah olah oleh pihak lain serta sudah dalam bentuk publikasi berupa data-data yang diperoleh dari jurnal, buku dan dokumen-dokumen lainnya. Sumber data dalam penelitian ini adalah dari laporan keuangan perusahaan yang terdaftar di JII (Jakarta </w:t>
      </w:r>
      <w:r w:rsidRPr="00381F2E">
        <w:rPr>
          <w:rFonts w:asciiTheme="majorBidi" w:hAnsiTheme="majorBidi" w:cstheme="majorBidi"/>
          <w:i/>
          <w:sz w:val="22"/>
          <w:szCs w:val="22"/>
        </w:rPr>
        <w:t>Islamic</w:t>
      </w:r>
      <w:r w:rsidRPr="00381F2E">
        <w:rPr>
          <w:rFonts w:asciiTheme="majorBidi" w:hAnsiTheme="majorBidi" w:cstheme="majorBidi"/>
          <w:iCs/>
          <w:sz w:val="22"/>
          <w:szCs w:val="22"/>
        </w:rPr>
        <w:t xml:space="preserve"> </w:t>
      </w:r>
      <w:r w:rsidRPr="00381F2E">
        <w:rPr>
          <w:rFonts w:asciiTheme="majorBidi" w:hAnsiTheme="majorBidi" w:cstheme="majorBidi"/>
          <w:i/>
          <w:sz w:val="22"/>
          <w:szCs w:val="22"/>
        </w:rPr>
        <w:t>Indeks</w:t>
      </w:r>
      <w:r w:rsidRPr="00381F2E">
        <w:rPr>
          <w:rFonts w:asciiTheme="majorBidi" w:hAnsiTheme="majorBidi" w:cstheme="majorBidi"/>
          <w:iCs/>
          <w:sz w:val="22"/>
          <w:szCs w:val="22"/>
        </w:rPr>
        <w:t xml:space="preserve">) melalui webset </w:t>
      </w:r>
      <w:hyperlink r:id="rId12" w:history="1">
        <w:r w:rsidRPr="00381F2E">
          <w:rPr>
            <w:rStyle w:val="Hyperlink"/>
            <w:rFonts w:asciiTheme="majorBidi" w:hAnsiTheme="majorBidi" w:cstheme="majorBidi"/>
            <w:iCs/>
            <w:sz w:val="22"/>
            <w:szCs w:val="22"/>
          </w:rPr>
          <w:t>www.idx.co.id</w:t>
        </w:r>
      </w:hyperlink>
      <w:r w:rsidRPr="00381F2E">
        <w:rPr>
          <w:rFonts w:asciiTheme="majorBidi" w:hAnsiTheme="majorBidi" w:cstheme="majorBidi"/>
          <w:iCs/>
          <w:sz w:val="22"/>
          <w:szCs w:val="22"/>
        </w:rPr>
        <w:t xml:space="preserve"> serta website-wibsite perusahaan-perusahaan tersebut. Perusahan tersebut terdiri dari 18 perusahaan, hanya perusahaan yang konsisten yang bergabung dengan JII dari tahun 2012-2018.</w:t>
      </w:r>
    </w:p>
    <w:p w:rsidR="00381F2E" w:rsidRDefault="00381F2E" w:rsidP="00381F2E">
      <w:pPr>
        <w:spacing w:after="240"/>
        <w:jc w:val="both"/>
        <w:rPr>
          <w:sz w:val="22"/>
          <w:szCs w:val="22"/>
        </w:rPr>
      </w:pPr>
      <w:r>
        <w:rPr>
          <w:sz w:val="22"/>
          <w:szCs w:val="22"/>
        </w:rPr>
        <w:t>2.2 Metode Pengumpulan Data</w:t>
      </w:r>
    </w:p>
    <w:p w:rsidR="00381F2E" w:rsidRDefault="00381F2E" w:rsidP="00381F2E">
      <w:pPr>
        <w:spacing w:after="240"/>
        <w:ind w:firstLine="426"/>
        <w:jc w:val="both"/>
        <w:rPr>
          <w:rFonts w:asciiTheme="majorBidi" w:hAnsiTheme="majorBidi" w:cstheme="majorBidi"/>
          <w:iCs/>
          <w:sz w:val="22"/>
          <w:szCs w:val="22"/>
        </w:rPr>
      </w:pPr>
      <w:r w:rsidRPr="00381F2E">
        <w:rPr>
          <w:rFonts w:asciiTheme="majorBidi" w:hAnsiTheme="majorBidi" w:cstheme="majorBidi"/>
          <w:iCs/>
          <w:sz w:val="22"/>
          <w:szCs w:val="22"/>
        </w:rPr>
        <w:t xml:space="preserve">Teknik Pengumpulan data yang digunakan dalam penelitian ini adalah dengan </w:t>
      </w:r>
      <w:proofErr w:type="gramStart"/>
      <w:r w:rsidRPr="00381F2E">
        <w:rPr>
          <w:rFonts w:asciiTheme="majorBidi" w:hAnsiTheme="majorBidi" w:cstheme="majorBidi"/>
          <w:iCs/>
          <w:sz w:val="22"/>
          <w:szCs w:val="22"/>
        </w:rPr>
        <w:t>cara</w:t>
      </w:r>
      <w:proofErr w:type="gramEnd"/>
      <w:r w:rsidRPr="00381F2E">
        <w:rPr>
          <w:rFonts w:asciiTheme="majorBidi" w:hAnsiTheme="majorBidi" w:cstheme="majorBidi"/>
          <w:iCs/>
          <w:sz w:val="22"/>
          <w:szCs w:val="22"/>
        </w:rPr>
        <w:t xml:space="preserve"> dokumentasi. Dokumentasi adalah catatan peristiwa yang sudah berlalu dan merupakan sarana pembantu peneli dalam mengumpulkan daya dan informasi dengan </w:t>
      </w:r>
      <w:proofErr w:type="gramStart"/>
      <w:r w:rsidRPr="00381F2E">
        <w:rPr>
          <w:rFonts w:asciiTheme="majorBidi" w:hAnsiTheme="majorBidi" w:cstheme="majorBidi"/>
          <w:iCs/>
          <w:sz w:val="22"/>
          <w:szCs w:val="22"/>
        </w:rPr>
        <w:t>cara</w:t>
      </w:r>
      <w:proofErr w:type="gramEnd"/>
      <w:r w:rsidRPr="00381F2E">
        <w:rPr>
          <w:rFonts w:asciiTheme="majorBidi" w:hAnsiTheme="majorBidi" w:cstheme="majorBidi"/>
          <w:iCs/>
          <w:sz w:val="22"/>
          <w:szCs w:val="22"/>
        </w:rPr>
        <w:t xml:space="preserve"> membaca jurnal-jurnal, buku, berita dan website IDX.</w:t>
      </w:r>
    </w:p>
    <w:p w:rsidR="00381F2E" w:rsidRDefault="00381F2E" w:rsidP="00381F2E">
      <w:pPr>
        <w:spacing w:after="240"/>
        <w:jc w:val="both"/>
        <w:rPr>
          <w:rFonts w:asciiTheme="majorBidi" w:hAnsiTheme="majorBidi" w:cstheme="majorBidi"/>
          <w:iCs/>
          <w:sz w:val="22"/>
          <w:szCs w:val="22"/>
        </w:rPr>
      </w:pPr>
      <w:r>
        <w:rPr>
          <w:rFonts w:asciiTheme="majorBidi" w:hAnsiTheme="majorBidi" w:cstheme="majorBidi"/>
          <w:iCs/>
          <w:sz w:val="22"/>
          <w:szCs w:val="22"/>
        </w:rPr>
        <w:t>2.3 Definisi Operasional Variabel</w:t>
      </w:r>
    </w:p>
    <w:p w:rsidR="00381F2E" w:rsidRDefault="00381F2E" w:rsidP="00381F2E">
      <w:pPr>
        <w:spacing w:after="240"/>
        <w:jc w:val="both"/>
        <w:rPr>
          <w:rFonts w:asciiTheme="majorBidi" w:hAnsiTheme="majorBidi" w:cstheme="majorBidi"/>
          <w:iCs/>
          <w:sz w:val="22"/>
          <w:szCs w:val="22"/>
        </w:rPr>
      </w:pPr>
      <w:r>
        <w:rPr>
          <w:rFonts w:asciiTheme="majorBidi" w:hAnsiTheme="majorBidi" w:cstheme="majorBidi"/>
          <w:iCs/>
          <w:sz w:val="22"/>
          <w:szCs w:val="22"/>
        </w:rPr>
        <w:t>Tabel 1. Definisi Opearional Variabel</w:t>
      </w:r>
    </w:p>
    <w:tbl>
      <w:tblPr>
        <w:tblStyle w:val="PlainTable2"/>
        <w:tblW w:w="8784" w:type="dxa"/>
        <w:tblLook w:val="04A0" w:firstRow="1" w:lastRow="0" w:firstColumn="1" w:lastColumn="0" w:noHBand="0" w:noVBand="1"/>
      </w:tblPr>
      <w:tblGrid>
        <w:gridCol w:w="1679"/>
        <w:gridCol w:w="3074"/>
        <w:gridCol w:w="3241"/>
        <w:gridCol w:w="790"/>
      </w:tblGrid>
      <w:tr w:rsidR="00381F2E" w:rsidTr="00381F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rsidR="00381F2E" w:rsidRDefault="00381F2E">
            <w:pPr>
              <w:jc w:val="both"/>
              <w:rPr>
                <w:rStyle w:val="tlid-translation"/>
                <w:rFonts w:asciiTheme="majorBidi" w:hAnsiTheme="majorBidi" w:cstheme="majorBidi"/>
              </w:rPr>
            </w:pPr>
            <w:r>
              <w:rPr>
                <w:rStyle w:val="tlid-translation"/>
                <w:rFonts w:asciiTheme="majorBidi" w:hAnsiTheme="majorBidi" w:cstheme="majorBidi"/>
              </w:rPr>
              <w:t>Variabel</w:t>
            </w:r>
          </w:p>
        </w:tc>
        <w:tc>
          <w:tcPr>
            <w:tcW w:w="3119" w:type="dxa"/>
            <w:hideMark/>
          </w:tcPr>
          <w:p w:rsidR="00381F2E" w:rsidRDefault="00381F2E">
            <w:pPr>
              <w:jc w:val="both"/>
              <w:cnfStyle w:val="100000000000" w:firstRow="1"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Definisi</w:t>
            </w:r>
          </w:p>
        </w:tc>
        <w:tc>
          <w:tcPr>
            <w:tcW w:w="3247" w:type="dxa"/>
            <w:hideMark/>
          </w:tcPr>
          <w:p w:rsidR="00381F2E" w:rsidRDefault="00381F2E">
            <w:pPr>
              <w:jc w:val="both"/>
              <w:cnfStyle w:val="100000000000" w:firstRow="1"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Pengukuran</w:t>
            </w:r>
          </w:p>
        </w:tc>
        <w:tc>
          <w:tcPr>
            <w:tcW w:w="722" w:type="dxa"/>
            <w:hideMark/>
          </w:tcPr>
          <w:p w:rsidR="00381F2E" w:rsidRDefault="00381F2E">
            <w:pPr>
              <w:jc w:val="both"/>
              <w:cnfStyle w:val="100000000000" w:firstRow="1"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Skala</w:t>
            </w:r>
          </w:p>
        </w:tc>
      </w:tr>
      <w:tr w:rsidR="00381F2E" w:rsidTr="00381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rsidR="00381F2E" w:rsidRPr="00381F2E" w:rsidRDefault="00381F2E">
            <w:pPr>
              <w:jc w:val="both"/>
              <w:rPr>
                <w:rStyle w:val="tlid-translation"/>
                <w:rFonts w:asciiTheme="majorBidi" w:hAnsiTheme="majorBidi" w:cstheme="majorBidi"/>
                <w:b w:val="0"/>
                <w:bCs w:val="0"/>
                <w:i/>
                <w:iCs/>
              </w:rPr>
            </w:pPr>
            <w:r w:rsidRPr="00381F2E">
              <w:rPr>
                <w:rStyle w:val="tlid-translation"/>
                <w:rFonts w:asciiTheme="majorBidi" w:hAnsiTheme="majorBidi" w:cstheme="majorBidi"/>
                <w:b w:val="0"/>
                <w:bCs w:val="0"/>
                <w:i/>
                <w:iCs/>
              </w:rPr>
              <w:t>Book Value (BV)</w:t>
            </w:r>
          </w:p>
        </w:tc>
        <w:tc>
          <w:tcPr>
            <w:tcW w:w="3119" w:type="dxa"/>
            <w:hideMark/>
          </w:tcPr>
          <w:p w:rsidR="00381F2E" w:rsidRDefault="00381F2E">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Nilai suatu aktiva sebagaimana yang dinyatakan dalam pembukuan</w:t>
            </w:r>
          </w:p>
        </w:tc>
        <w:tc>
          <w:tcPr>
            <w:tcW w:w="3247" w:type="dxa"/>
            <w:hideMark/>
          </w:tcPr>
          <w:p w:rsidR="00381F2E" w:rsidRDefault="00381F2E">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m:oMathPara>
              <m:oMath>
                <m:r>
                  <w:rPr>
                    <w:rFonts w:ascii="Cambria Math" w:eastAsia="BookAntiqua" w:hAnsi="Cambria Math" w:cstheme="majorBidi"/>
                  </w:rPr>
                  <m:t xml:space="preserve">BV= </m:t>
                </m:r>
                <m:f>
                  <m:fPr>
                    <m:ctrlPr>
                      <w:rPr>
                        <w:rFonts w:ascii="Cambria Math" w:eastAsia="BookAntiqua" w:hAnsi="Cambria Math" w:cstheme="majorBidi"/>
                        <w:i/>
                        <w:sz w:val="22"/>
                        <w:szCs w:val="22"/>
                      </w:rPr>
                    </m:ctrlPr>
                  </m:fPr>
                  <m:num>
                    <m:r>
                      <w:rPr>
                        <w:rFonts w:ascii="Cambria Math" w:eastAsia="BookAntiqua" w:hAnsi="Cambria Math" w:cstheme="majorBidi"/>
                      </w:rPr>
                      <m:t>Total Ekuitas</m:t>
                    </m:r>
                  </m:num>
                  <m:den>
                    <m:r>
                      <w:rPr>
                        <w:rFonts w:ascii="Cambria Math" w:eastAsia="BookAntiqua" w:hAnsi="Cambria Math" w:cstheme="majorBidi"/>
                      </w:rPr>
                      <m:t>Jumlah saham  beredar</m:t>
                    </m:r>
                  </m:den>
                </m:f>
              </m:oMath>
            </m:oMathPara>
          </w:p>
        </w:tc>
        <w:tc>
          <w:tcPr>
            <w:tcW w:w="722" w:type="dxa"/>
            <w:hideMark/>
          </w:tcPr>
          <w:p w:rsidR="00381F2E" w:rsidRDefault="00381F2E">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Rasio</w:t>
            </w:r>
          </w:p>
        </w:tc>
      </w:tr>
      <w:tr w:rsidR="00381F2E" w:rsidTr="00381F2E">
        <w:tc>
          <w:tcPr>
            <w:cnfStyle w:val="001000000000" w:firstRow="0" w:lastRow="0" w:firstColumn="1" w:lastColumn="0" w:oddVBand="0" w:evenVBand="0" w:oddHBand="0" w:evenHBand="0" w:firstRowFirstColumn="0" w:firstRowLastColumn="0" w:lastRowFirstColumn="0" w:lastRowLastColumn="0"/>
            <w:tcW w:w="1696" w:type="dxa"/>
            <w:hideMark/>
          </w:tcPr>
          <w:p w:rsidR="00381F2E" w:rsidRPr="00381F2E" w:rsidRDefault="00381F2E">
            <w:pPr>
              <w:jc w:val="both"/>
              <w:rPr>
                <w:rStyle w:val="tlid-translation"/>
                <w:rFonts w:asciiTheme="majorBidi" w:hAnsiTheme="majorBidi" w:cstheme="majorBidi"/>
                <w:b w:val="0"/>
                <w:bCs w:val="0"/>
                <w:i/>
                <w:iCs/>
              </w:rPr>
            </w:pPr>
            <w:r w:rsidRPr="00381F2E">
              <w:rPr>
                <w:rStyle w:val="tlid-translation"/>
                <w:rFonts w:asciiTheme="majorBidi" w:hAnsiTheme="majorBidi" w:cstheme="majorBidi"/>
                <w:b w:val="0"/>
                <w:bCs w:val="0"/>
                <w:i/>
                <w:iCs/>
              </w:rPr>
              <w:t>Price to Book Value (PBV)</w:t>
            </w:r>
          </w:p>
        </w:tc>
        <w:tc>
          <w:tcPr>
            <w:tcW w:w="3119" w:type="dxa"/>
            <w:hideMark/>
          </w:tcPr>
          <w:p w:rsidR="00381F2E" w:rsidRDefault="00381F2E">
            <w:pPr>
              <w:jc w:val="both"/>
              <w:cnfStyle w:val="000000000000" w:firstRow="0"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Rasio nilai menunjukkan tingkat kemampuan perusahaan dalam menciptakan nilai relatif terhadap jumlah modal yang diinvestasikan</w:t>
            </w:r>
          </w:p>
        </w:tc>
        <w:tc>
          <w:tcPr>
            <w:tcW w:w="3247" w:type="dxa"/>
            <w:hideMark/>
          </w:tcPr>
          <w:p w:rsidR="00381F2E" w:rsidRDefault="00381F2E">
            <w:pPr>
              <w:jc w:val="both"/>
              <w:cnfStyle w:val="000000000000" w:firstRow="0" w:lastRow="0" w:firstColumn="0" w:lastColumn="0" w:oddVBand="0" w:evenVBand="0" w:oddHBand="0" w:evenHBand="0" w:firstRowFirstColumn="0" w:firstRowLastColumn="0" w:lastRowFirstColumn="0" w:lastRowLastColumn="0"/>
              <w:rPr>
                <w:rStyle w:val="tlid-translation"/>
                <w:rFonts w:asciiTheme="majorBidi" w:hAnsiTheme="majorBidi" w:cstheme="majorBidi"/>
              </w:rPr>
            </w:pPr>
            <m:oMathPara>
              <m:oMath>
                <m:r>
                  <w:rPr>
                    <w:rFonts w:ascii="Cambria Math" w:eastAsia="BookAntiqua" w:hAnsi="Cambria Math" w:cstheme="majorBidi"/>
                  </w:rPr>
                  <m:t xml:space="preserve">PBV= </m:t>
                </m:r>
                <m:f>
                  <m:fPr>
                    <m:ctrlPr>
                      <w:rPr>
                        <w:rFonts w:ascii="Cambria Math" w:eastAsia="BookAntiqua" w:hAnsi="Cambria Math" w:cstheme="majorBidi"/>
                        <w:i/>
                        <w:sz w:val="22"/>
                        <w:szCs w:val="22"/>
                      </w:rPr>
                    </m:ctrlPr>
                  </m:fPr>
                  <m:num>
                    <m:r>
                      <w:rPr>
                        <w:rFonts w:ascii="Cambria Math" w:eastAsia="BookAntiqua" w:hAnsi="Cambria Math" w:cstheme="majorBidi"/>
                      </w:rPr>
                      <m:t>Harga pasar saham</m:t>
                    </m:r>
                  </m:num>
                  <m:den>
                    <m:r>
                      <w:rPr>
                        <w:rFonts w:ascii="Cambria Math" w:eastAsia="BookAntiqua" w:hAnsi="Cambria Math" w:cstheme="majorBidi"/>
                      </w:rPr>
                      <m:t>Nilai buku saham</m:t>
                    </m:r>
                  </m:den>
                </m:f>
              </m:oMath>
            </m:oMathPara>
          </w:p>
        </w:tc>
        <w:tc>
          <w:tcPr>
            <w:tcW w:w="722" w:type="dxa"/>
            <w:hideMark/>
          </w:tcPr>
          <w:p w:rsidR="00381F2E" w:rsidRDefault="00381F2E">
            <w:pPr>
              <w:jc w:val="both"/>
              <w:cnfStyle w:val="000000000000" w:firstRow="0"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Rasio</w:t>
            </w:r>
          </w:p>
        </w:tc>
      </w:tr>
      <w:tr w:rsidR="00381F2E" w:rsidTr="00381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rsidR="00381F2E" w:rsidRPr="00381F2E" w:rsidRDefault="00381F2E">
            <w:pPr>
              <w:jc w:val="both"/>
              <w:rPr>
                <w:rStyle w:val="tlid-translation"/>
                <w:rFonts w:asciiTheme="majorBidi" w:hAnsiTheme="majorBidi" w:cstheme="majorBidi"/>
                <w:b w:val="0"/>
                <w:bCs w:val="0"/>
                <w:i/>
                <w:iCs/>
              </w:rPr>
            </w:pPr>
            <w:r w:rsidRPr="00381F2E">
              <w:rPr>
                <w:rStyle w:val="tlid-translation"/>
                <w:rFonts w:asciiTheme="majorBidi" w:hAnsiTheme="majorBidi" w:cstheme="majorBidi"/>
                <w:b w:val="0"/>
                <w:bCs w:val="0"/>
                <w:i/>
                <w:iCs/>
              </w:rPr>
              <w:t>Earning Per Share (EPS)</w:t>
            </w:r>
          </w:p>
        </w:tc>
        <w:tc>
          <w:tcPr>
            <w:tcW w:w="3119" w:type="dxa"/>
            <w:hideMark/>
          </w:tcPr>
          <w:p w:rsidR="00381F2E" w:rsidRDefault="00381F2E">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Rasio pasar yang menunjukkan bagian laba untuk setiap saham</w:t>
            </w:r>
          </w:p>
        </w:tc>
        <w:tc>
          <w:tcPr>
            <w:tcW w:w="3247" w:type="dxa"/>
            <w:hideMark/>
          </w:tcPr>
          <w:p w:rsidR="00381F2E" w:rsidRDefault="00381F2E">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m:oMathPara>
              <m:oMath>
                <m:r>
                  <w:rPr>
                    <w:rFonts w:ascii="Cambria Math" w:eastAsia="BookAntiqua" w:hAnsi="Cambria Math" w:cstheme="majorBidi"/>
                  </w:rPr>
                  <m:t xml:space="preserve">EPS= </m:t>
                </m:r>
                <m:f>
                  <m:fPr>
                    <m:ctrlPr>
                      <w:rPr>
                        <w:rFonts w:ascii="Cambria Math" w:eastAsia="BookAntiqua" w:hAnsi="Cambria Math" w:cstheme="majorBidi"/>
                        <w:i/>
                        <w:sz w:val="22"/>
                        <w:szCs w:val="22"/>
                      </w:rPr>
                    </m:ctrlPr>
                  </m:fPr>
                  <m:num>
                    <m:r>
                      <w:rPr>
                        <w:rFonts w:ascii="Cambria Math" w:eastAsia="BookAntiqua" w:hAnsi="Cambria Math" w:cstheme="majorBidi"/>
                      </w:rPr>
                      <m:t>EAT</m:t>
                    </m:r>
                  </m:num>
                  <m:den>
                    <m:r>
                      <w:rPr>
                        <w:rFonts w:ascii="Cambria Math" w:eastAsia="BookAntiqua" w:hAnsi="Cambria Math" w:cstheme="majorBidi"/>
                      </w:rPr>
                      <m:t>Saham yang beredar</m:t>
                    </m:r>
                  </m:den>
                </m:f>
              </m:oMath>
            </m:oMathPara>
          </w:p>
        </w:tc>
        <w:tc>
          <w:tcPr>
            <w:tcW w:w="722" w:type="dxa"/>
            <w:hideMark/>
          </w:tcPr>
          <w:p w:rsidR="00381F2E" w:rsidRDefault="00381F2E">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Rasio</w:t>
            </w:r>
          </w:p>
        </w:tc>
      </w:tr>
      <w:tr w:rsidR="00381F2E" w:rsidTr="00381F2E">
        <w:tc>
          <w:tcPr>
            <w:cnfStyle w:val="001000000000" w:firstRow="0" w:lastRow="0" w:firstColumn="1" w:lastColumn="0" w:oddVBand="0" w:evenVBand="0" w:oddHBand="0" w:evenHBand="0" w:firstRowFirstColumn="0" w:firstRowLastColumn="0" w:lastRowFirstColumn="0" w:lastRowLastColumn="0"/>
            <w:tcW w:w="1696" w:type="dxa"/>
            <w:hideMark/>
          </w:tcPr>
          <w:p w:rsidR="00381F2E" w:rsidRPr="00381F2E" w:rsidRDefault="00381F2E">
            <w:pPr>
              <w:jc w:val="both"/>
              <w:rPr>
                <w:rStyle w:val="tlid-translation"/>
                <w:rFonts w:asciiTheme="majorBidi" w:hAnsiTheme="majorBidi" w:cstheme="majorBidi"/>
                <w:b w:val="0"/>
                <w:bCs w:val="0"/>
                <w:i/>
                <w:iCs/>
              </w:rPr>
            </w:pPr>
            <w:r w:rsidRPr="00381F2E">
              <w:rPr>
                <w:rStyle w:val="tlid-translation"/>
                <w:rFonts w:asciiTheme="majorBidi" w:hAnsiTheme="majorBidi" w:cstheme="majorBidi"/>
                <w:b w:val="0"/>
                <w:bCs w:val="0"/>
                <w:i/>
                <w:iCs/>
              </w:rPr>
              <w:t>Debt to Equity Ratio (DER)</w:t>
            </w:r>
          </w:p>
        </w:tc>
        <w:tc>
          <w:tcPr>
            <w:tcW w:w="3119" w:type="dxa"/>
            <w:hideMark/>
          </w:tcPr>
          <w:p w:rsidR="00381F2E" w:rsidRDefault="00381F2E">
            <w:pPr>
              <w:jc w:val="both"/>
              <w:cnfStyle w:val="000000000000" w:firstRow="0"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Rasio utang yang digunakan untuk mengukur tingkat penggunaan hutang terhadap modal sendiri oelh perusahaan</w:t>
            </w:r>
          </w:p>
        </w:tc>
        <w:tc>
          <w:tcPr>
            <w:tcW w:w="3247" w:type="dxa"/>
            <w:hideMark/>
          </w:tcPr>
          <w:p w:rsidR="00381F2E" w:rsidRDefault="00381F2E">
            <w:pPr>
              <w:jc w:val="both"/>
              <w:cnfStyle w:val="000000000000" w:firstRow="0" w:lastRow="0" w:firstColumn="0" w:lastColumn="0" w:oddVBand="0" w:evenVBand="0" w:oddHBand="0" w:evenHBand="0" w:firstRowFirstColumn="0" w:firstRowLastColumn="0" w:lastRowFirstColumn="0" w:lastRowLastColumn="0"/>
              <w:rPr>
                <w:rStyle w:val="tlid-translation"/>
                <w:rFonts w:asciiTheme="majorBidi" w:hAnsiTheme="majorBidi" w:cstheme="majorBidi"/>
              </w:rPr>
            </w:pPr>
            <m:oMathPara>
              <m:oMath>
                <m:r>
                  <w:rPr>
                    <w:rFonts w:ascii="Cambria Math" w:eastAsia="BookAntiqua" w:hAnsi="Cambria Math" w:cstheme="majorBidi"/>
                  </w:rPr>
                  <m:t xml:space="preserve">DER= </m:t>
                </m:r>
                <m:f>
                  <m:fPr>
                    <m:ctrlPr>
                      <w:rPr>
                        <w:rFonts w:ascii="Cambria Math" w:eastAsia="BookAntiqua" w:hAnsi="Cambria Math" w:cstheme="majorBidi"/>
                        <w:i/>
                        <w:sz w:val="22"/>
                        <w:szCs w:val="22"/>
                      </w:rPr>
                    </m:ctrlPr>
                  </m:fPr>
                  <m:num>
                    <m:r>
                      <w:rPr>
                        <w:rFonts w:ascii="Cambria Math" w:eastAsia="BookAntiqua" w:hAnsi="Cambria Math" w:cstheme="majorBidi"/>
                      </w:rPr>
                      <m:t>Total Hutang</m:t>
                    </m:r>
                  </m:num>
                  <m:den>
                    <m:r>
                      <w:rPr>
                        <w:rFonts w:ascii="Cambria Math" w:eastAsia="BookAntiqua" w:hAnsi="Cambria Math" w:cstheme="majorBidi"/>
                      </w:rPr>
                      <m:t>Total aset</m:t>
                    </m:r>
                  </m:den>
                </m:f>
              </m:oMath>
            </m:oMathPara>
          </w:p>
        </w:tc>
        <w:tc>
          <w:tcPr>
            <w:tcW w:w="722" w:type="dxa"/>
            <w:hideMark/>
          </w:tcPr>
          <w:p w:rsidR="00381F2E" w:rsidRDefault="00381F2E">
            <w:pPr>
              <w:jc w:val="both"/>
              <w:cnfStyle w:val="000000000000" w:firstRow="0"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Rasio</w:t>
            </w:r>
          </w:p>
        </w:tc>
      </w:tr>
      <w:tr w:rsidR="00381F2E" w:rsidTr="00381F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hideMark/>
          </w:tcPr>
          <w:p w:rsidR="00381F2E" w:rsidRPr="00381F2E" w:rsidRDefault="00381F2E">
            <w:pPr>
              <w:jc w:val="both"/>
              <w:rPr>
                <w:rStyle w:val="tlid-translation"/>
                <w:rFonts w:asciiTheme="majorBidi" w:hAnsiTheme="majorBidi" w:cstheme="majorBidi"/>
                <w:b w:val="0"/>
                <w:bCs w:val="0"/>
                <w:i/>
                <w:iCs/>
              </w:rPr>
            </w:pPr>
            <w:r w:rsidRPr="00381F2E">
              <w:rPr>
                <w:rStyle w:val="tlid-translation"/>
                <w:rFonts w:asciiTheme="majorBidi" w:hAnsiTheme="majorBidi" w:cstheme="majorBidi"/>
                <w:b w:val="0"/>
                <w:bCs w:val="0"/>
                <w:i/>
                <w:iCs/>
              </w:rPr>
              <w:t>Piece to Earning Ratio (PER)</w:t>
            </w:r>
          </w:p>
        </w:tc>
        <w:tc>
          <w:tcPr>
            <w:tcW w:w="3119" w:type="dxa"/>
            <w:hideMark/>
          </w:tcPr>
          <w:p w:rsidR="00381F2E" w:rsidRDefault="00381F2E">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Rasio yang menunjukkan besarnya rupiah yang harus dibayar investor setiap 1 rupiah laba berjalan</w:t>
            </w:r>
          </w:p>
        </w:tc>
        <w:tc>
          <w:tcPr>
            <w:tcW w:w="3247" w:type="dxa"/>
            <w:hideMark/>
          </w:tcPr>
          <w:p w:rsidR="00381F2E" w:rsidRDefault="00381F2E">
            <w:pPr>
              <w:jc w:val="both"/>
              <w:cnfStyle w:val="000000100000" w:firstRow="0" w:lastRow="0" w:firstColumn="0" w:lastColumn="0" w:oddVBand="0" w:evenVBand="0" w:oddHBand="1" w:evenHBand="0" w:firstRowFirstColumn="0" w:firstRowLastColumn="0" w:lastRowFirstColumn="0" w:lastRowLastColumn="0"/>
              <w:rPr>
                <w:rFonts w:eastAsia="Calibri"/>
              </w:rPr>
            </w:pPr>
            <m:oMathPara>
              <m:oMath>
                <m:r>
                  <w:rPr>
                    <w:rFonts w:ascii="Cambria Math" w:eastAsia="BookAntiqua" w:hAnsi="Cambria Math" w:cstheme="majorBidi"/>
                  </w:rPr>
                  <m:t xml:space="preserve">PER= </m:t>
                </m:r>
                <m:f>
                  <m:fPr>
                    <m:ctrlPr>
                      <w:rPr>
                        <w:rFonts w:ascii="Cambria Math" w:eastAsia="BookAntiqua" w:hAnsi="Cambria Math" w:cstheme="majorBidi"/>
                        <w:i/>
                        <w:sz w:val="22"/>
                        <w:szCs w:val="22"/>
                      </w:rPr>
                    </m:ctrlPr>
                  </m:fPr>
                  <m:num>
                    <m:r>
                      <w:rPr>
                        <w:rFonts w:ascii="Cambria Math" w:eastAsia="BookAntiqua" w:hAnsi="Cambria Math" w:cstheme="majorBidi"/>
                      </w:rPr>
                      <m:t>Harga Persaham</m:t>
                    </m:r>
                  </m:num>
                  <m:den>
                    <m:r>
                      <w:rPr>
                        <w:rFonts w:ascii="Cambria Math" w:eastAsia="BookAntiqua" w:hAnsi="Cambria Math" w:cstheme="majorBidi"/>
                      </w:rPr>
                      <m:t>Laba Persaham</m:t>
                    </m:r>
                  </m:den>
                </m:f>
              </m:oMath>
            </m:oMathPara>
          </w:p>
        </w:tc>
        <w:tc>
          <w:tcPr>
            <w:tcW w:w="722" w:type="dxa"/>
            <w:hideMark/>
          </w:tcPr>
          <w:p w:rsidR="00381F2E" w:rsidRDefault="00381F2E">
            <w:pPr>
              <w:jc w:val="both"/>
              <w:cnfStyle w:val="000000100000" w:firstRow="0" w:lastRow="0" w:firstColumn="0" w:lastColumn="0" w:oddVBand="0" w:evenVBand="0" w:oddHBand="1" w:evenHBand="0" w:firstRowFirstColumn="0" w:firstRowLastColumn="0" w:lastRowFirstColumn="0" w:lastRowLastColumn="0"/>
              <w:rPr>
                <w:rStyle w:val="tlid-translation"/>
                <w:rFonts w:eastAsiaTheme="minorHAnsi"/>
              </w:rPr>
            </w:pPr>
            <w:r>
              <w:rPr>
                <w:rStyle w:val="tlid-translation"/>
                <w:rFonts w:asciiTheme="majorBidi" w:hAnsiTheme="majorBidi" w:cstheme="majorBidi"/>
              </w:rPr>
              <w:t>Rasio</w:t>
            </w:r>
          </w:p>
        </w:tc>
      </w:tr>
      <w:tr w:rsidR="00381F2E" w:rsidTr="00381F2E">
        <w:tc>
          <w:tcPr>
            <w:cnfStyle w:val="001000000000" w:firstRow="0" w:lastRow="0" w:firstColumn="1" w:lastColumn="0" w:oddVBand="0" w:evenVBand="0" w:oddHBand="0" w:evenHBand="0" w:firstRowFirstColumn="0" w:firstRowLastColumn="0" w:lastRowFirstColumn="0" w:lastRowLastColumn="0"/>
            <w:tcW w:w="1696" w:type="dxa"/>
            <w:hideMark/>
          </w:tcPr>
          <w:p w:rsidR="00381F2E" w:rsidRPr="00381F2E" w:rsidRDefault="00381F2E">
            <w:pPr>
              <w:jc w:val="both"/>
              <w:rPr>
                <w:rStyle w:val="tlid-translation"/>
                <w:rFonts w:asciiTheme="majorBidi" w:hAnsiTheme="majorBidi" w:cstheme="majorBidi"/>
                <w:b w:val="0"/>
                <w:bCs w:val="0"/>
              </w:rPr>
            </w:pPr>
            <w:r w:rsidRPr="00381F2E">
              <w:rPr>
                <w:rStyle w:val="tlid-translation"/>
                <w:rFonts w:asciiTheme="majorBidi" w:hAnsiTheme="majorBidi" w:cstheme="majorBidi"/>
                <w:b w:val="0"/>
                <w:bCs w:val="0"/>
              </w:rPr>
              <w:t>Harga Saham</w:t>
            </w:r>
          </w:p>
        </w:tc>
        <w:tc>
          <w:tcPr>
            <w:tcW w:w="3119" w:type="dxa"/>
            <w:hideMark/>
          </w:tcPr>
          <w:p w:rsidR="00381F2E" w:rsidRDefault="00381F2E">
            <w:pPr>
              <w:jc w:val="both"/>
              <w:cnfStyle w:val="000000000000" w:firstRow="0"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Harga saham merupakan cerminan dari kondisi perusahaan</w:t>
            </w:r>
          </w:p>
        </w:tc>
        <w:tc>
          <w:tcPr>
            <w:tcW w:w="3247" w:type="dxa"/>
            <w:hideMark/>
          </w:tcPr>
          <w:p w:rsidR="00381F2E" w:rsidRDefault="00381F2E">
            <w:pPr>
              <w:jc w:val="both"/>
              <w:cnfStyle w:val="000000000000" w:firstRow="0" w:lastRow="0" w:firstColumn="0" w:lastColumn="0" w:oddVBand="0" w:evenVBand="0" w:oddHBand="0" w:evenHBand="0" w:firstRowFirstColumn="0" w:firstRowLastColumn="0" w:lastRowFirstColumn="0" w:lastRowLastColumn="0"/>
              <w:rPr>
                <w:rFonts w:eastAsia="Calibri"/>
              </w:rPr>
            </w:pPr>
            <w:r>
              <w:rPr>
                <w:rFonts w:asciiTheme="majorBidi" w:eastAsia="Calibri" w:hAnsiTheme="majorBidi" w:cstheme="majorBidi"/>
              </w:rPr>
              <w:t>Harga saham pada periode akhir tahun (</w:t>
            </w:r>
            <w:r>
              <w:rPr>
                <w:rFonts w:asciiTheme="majorBidi" w:eastAsia="Calibri" w:hAnsiTheme="majorBidi" w:cstheme="majorBidi"/>
                <w:i/>
                <w:iCs/>
              </w:rPr>
              <w:t>Closing Price</w:t>
            </w:r>
            <w:r>
              <w:rPr>
                <w:rFonts w:asciiTheme="majorBidi" w:eastAsia="Calibri" w:hAnsiTheme="majorBidi" w:cstheme="majorBidi"/>
              </w:rPr>
              <w:t>)</w:t>
            </w:r>
          </w:p>
        </w:tc>
        <w:tc>
          <w:tcPr>
            <w:tcW w:w="722" w:type="dxa"/>
          </w:tcPr>
          <w:p w:rsidR="00381F2E" w:rsidRDefault="00381F2E">
            <w:pPr>
              <w:jc w:val="both"/>
              <w:cnfStyle w:val="000000000000" w:firstRow="0" w:lastRow="0" w:firstColumn="0" w:lastColumn="0" w:oddVBand="0" w:evenVBand="0" w:oddHBand="0" w:evenHBand="0" w:firstRowFirstColumn="0" w:firstRowLastColumn="0" w:lastRowFirstColumn="0" w:lastRowLastColumn="0"/>
              <w:rPr>
                <w:rStyle w:val="tlid-translation"/>
                <w:rFonts w:eastAsiaTheme="minorHAnsi"/>
              </w:rPr>
            </w:pPr>
          </w:p>
        </w:tc>
      </w:tr>
    </w:tbl>
    <w:p w:rsidR="00381F2E" w:rsidRDefault="00381F2E" w:rsidP="00381F2E">
      <w:pPr>
        <w:spacing w:after="240"/>
        <w:jc w:val="both"/>
        <w:rPr>
          <w:sz w:val="22"/>
          <w:szCs w:val="22"/>
        </w:rPr>
      </w:pPr>
      <w:r>
        <w:rPr>
          <w:sz w:val="22"/>
          <w:szCs w:val="22"/>
        </w:rPr>
        <w:t>Sumber: Penulis</w:t>
      </w:r>
    </w:p>
    <w:p w:rsidR="00381F2E" w:rsidRPr="00381F2E" w:rsidRDefault="00381F2E" w:rsidP="00381F2E">
      <w:pPr>
        <w:jc w:val="both"/>
        <w:rPr>
          <w:rStyle w:val="tlid-translation"/>
          <w:rFonts w:asciiTheme="majorBidi" w:hAnsiTheme="majorBidi" w:cstheme="majorBidi"/>
          <w:sz w:val="22"/>
          <w:szCs w:val="22"/>
        </w:rPr>
      </w:pPr>
      <w:r w:rsidRPr="00381F2E">
        <w:rPr>
          <w:rStyle w:val="tlid-translation"/>
          <w:rFonts w:asciiTheme="majorBidi" w:hAnsiTheme="majorBidi" w:cstheme="majorBidi"/>
          <w:sz w:val="22"/>
          <w:szCs w:val="22"/>
        </w:rPr>
        <w:t xml:space="preserve">2.4 </w:t>
      </w:r>
      <w:r w:rsidRPr="00381F2E">
        <w:rPr>
          <w:rStyle w:val="tlid-translation"/>
          <w:rFonts w:asciiTheme="majorBidi" w:hAnsiTheme="majorBidi" w:cstheme="majorBidi"/>
          <w:sz w:val="22"/>
          <w:szCs w:val="22"/>
        </w:rPr>
        <w:t>Metode Analisi Data</w:t>
      </w:r>
    </w:p>
    <w:p w:rsidR="00381F2E" w:rsidRPr="00381F2E" w:rsidRDefault="00381F2E" w:rsidP="00381F2E">
      <w:pPr>
        <w:jc w:val="both"/>
        <w:rPr>
          <w:rStyle w:val="tlid-translation"/>
          <w:rFonts w:asciiTheme="majorBidi" w:hAnsiTheme="majorBidi" w:cstheme="majorBidi"/>
          <w:sz w:val="22"/>
          <w:szCs w:val="22"/>
        </w:rPr>
      </w:pPr>
      <w:r w:rsidRPr="00381F2E">
        <w:rPr>
          <w:rStyle w:val="tlid-translation"/>
          <w:rFonts w:asciiTheme="majorBidi" w:hAnsiTheme="majorBidi" w:cstheme="majorBidi"/>
          <w:sz w:val="22"/>
          <w:szCs w:val="22"/>
        </w:rPr>
        <w:t>Penelitian ini menggunakan model analisis regresi berganda untuk menganalisa data. Model penelitian ini secara matematis dapat dirumuskan sebagai berikut:</w:t>
      </w:r>
    </w:p>
    <w:p w:rsidR="00381F2E" w:rsidRPr="00381F2E" w:rsidRDefault="00381F2E" w:rsidP="00381F2E">
      <w:pPr>
        <w:pStyle w:val="ListParagraph"/>
        <w:autoSpaceDE w:val="0"/>
        <w:autoSpaceDN w:val="0"/>
        <w:adjustRightInd w:val="0"/>
        <w:ind w:left="1701"/>
        <w:jc w:val="both"/>
        <w:rPr>
          <w:sz w:val="22"/>
          <w:szCs w:val="22"/>
        </w:rPr>
      </w:pPr>
      <w:r w:rsidRPr="00381F2E">
        <w:rPr>
          <w:sz w:val="22"/>
          <w:szCs w:val="22"/>
        </w:rPr>
        <w:t>Y = a + b1 X1 + b2 X2 + b3 X3 + b4 X4 + b5 X5 + e</w:t>
      </w:r>
    </w:p>
    <w:p w:rsidR="00381F2E" w:rsidRPr="00381F2E" w:rsidRDefault="00381F2E" w:rsidP="00381F2E">
      <w:pPr>
        <w:autoSpaceDE w:val="0"/>
        <w:autoSpaceDN w:val="0"/>
        <w:adjustRightInd w:val="0"/>
        <w:ind w:left="1582" w:firstLine="119"/>
        <w:jc w:val="both"/>
        <w:rPr>
          <w:sz w:val="22"/>
          <w:szCs w:val="22"/>
        </w:rPr>
      </w:pPr>
      <w:proofErr w:type="gramStart"/>
      <w:r w:rsidRPr="00381F2E">
        <w:rPr>
          <w:sz w:val="22"/>
          <w:szCs w:val="22"/>
        </w:rPr>
        <w:t>Dimana :</w:t>
      </w:r>
      <w:proofErr w:type="gramEnd"/>
    </w:p>
    <w:p w:rsidR="00381F2E" w:rsidRPr="00381F2E" w:rsidRDefault="00381F2E" w:rsidP="00381F2E">
      <w:pPr>
        <w:autoSpaceDE w:val="0"/>
        <w:autoSpaceDN w:val="0"/>
        <w:adjustRightInd w:val="0"/>
        <w:ind w:left="1582" w:firstLine="119"/>
        <w:jc w:val="both"/>
        <w:rPr>
          <w:sz w:val="22"/>
          <w:szCs w:val="22"/>
        </w:rPr>
      </w:pPr>
      <w:proofErr w:type="gramStart"/>
      <w:r w:rsidRPr="00381F2E">
        <w:rPr>
          <w:sz w:val="22"/>
          <w:szCs w:val="22"/>
        </w:rPr>
        <w:t>Y  =</w:t>
      </w:r>
      <w:proofErr w:type="gramEnd"/>
      <w:r w:rsidRPr="00381F2E">
        <w:rPr>
          <w:sz w:val="22"/>
          <w:szCs w:val="22"/>
        </w:rPr>
        <w:t xml:space="preserve"> Harga Saham</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a   = Konstanta</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b1 = Koefisien Regresi X1</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b2 = Koefisien Regrsi X2</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b3 = Koefisien Regresi X3</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b4 = Koefisien Regresi X4</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b5 = Koefisien Regresi X5</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 xml:space="preserve">b6 </w:t>
      </w:r>
      <w:proofErr w:type="gramStart"/>
      <w:r w:rsidRPr="00381F2E">
        <w:rPr>
          <w:sz w:val="22"/>
          <w:szCs w:val="22"/>
        </w:rPr>
        <w:t>=  Koefisien</w:t>
      </w:r>
      <w:proofErr w:type="gramEnd"/>
      <w:r w:rsidRPr="00381F2E">
        <w:rPr>
          <w:sz w:val="22"/>
          <w:szCs w:val="22"/>
        </w:rPr>
        <w:t xml:space="preserve"> Regresi X6</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 xml:space="preserve">X1 = </w:t>
      </w:r>
      <w:r w:rsidRPr="00381F2E">
        <w:rPr>
          <w:i/>
          <w:iCs/>
          <w:sz w:val="22"/>
          <w:szCs w:val="22"/>
        </w:rPr>
        <w:t xml:space="preserve">Book Value </w:t>
      </w:r>
      <w:r w:rsidRPr="00381F2E">
        <w:rPr>
          <w:sz w:val="22"/>
          <w:szCs w:val="22"/>
        </w:rPr>
        <w:t>(BV)</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 xml:space="preserve">X2 = </w:t>
      </w:r>
      <w:r w:rsidRPr="00381F2E">
        <w:rPr>
          <w:i/>
          <w:sz w:val="22"/>
          <w:szCs w:val="22"/>
        </w:rPr>
        <w:t xml:space="preserve">Price Book Value </w:t>
      </w:r>
      <w:r w:rsidRPr="00381F2E">
        <w:rPr>
          <w:sz w:val="22"/>
          <w:szCs w:val="22"/>
        </w:rPr>
        <w:t>(PBV)</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 xml:space="preserve">X3 = </w:t>
      </w:r>
      <w:r w:rsidRPr="00381F2E">
        <w:rPr>
          <w:i/>
          <w:sz w:val="22"/>
          <w:szCs w:val="22"/>
        </w:rPr>
        <w:t>Earning Per Share</w:t>
      </w:r>
      <w:r w:rsidRPr="00381F2E">
        <w:rPr>
          <w:sz w:val="22"/>
          <w:szCs w:val="22"/>
        </w:rPr>
        <w:t xml:space="preserve"> (EPS)</w:t>
      </w:r>
    </w:p>
    <w:p w:rsidR="00381F2E" w:rsidRPr="00381F2E" w:rsidRDefault="00381F2E" w:rsidP="00381F2E">
      <w:pPr>
        <w:autoSpaceDE w:val="0"/>
        <w:autoSpaceDN w:val="0"/>
        <w:adjustRightInd w:val="0"/>
        <w:ind w:left="1582" w:firstLine="119"/>
        <w:jc w:val="both"/>
        <w:rPr>
          <w:i/>
          <w:sz w:val="22"/>
          <w:szCs w:val="22"/>
        </w:rPr>
      </w:pPr>
      <w:r w:rsidRPr="00381F2E">
        <w:rPr>
          <w:sz w:val="22"/>
          <w:szCs w:val="22"/>
        </w:rPr>
        <w:t xml:space="preserve">X4 = </w:t>
      </w:r>
      <w:r w:rsidRPr="00381F2E">
        <w:rPr>
          <w:i/>
          <w:iCs/>
          <w:sz w:val="22"/>
          <w:szCs w:val="22"/>
        </w:rPr>
        <w:t xml:space="preserve">Debt to Equity Ratio </w:t>
      </w:r>
      <w:r w:rsidRPr="00381F2E">
        <w:rPr>
          <w:sz w:val="22"/>
          <w:szCs w:val="22"/>
        </w:rPr>
        <w:t>(DER)</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 xml:space="preserve">X5 = </w:t>
      </w:r>
      <w:r w:rsidRPr="00381F2E">
        <w:rPr>
          <w:i/>
          <w:iCs/>
          <w:sz w:val="22"/>
          <w:szCs w:val="22"/>
        </w:rPr>
        <w:t xml:space="preserve">Price to Equity Ratio </w:t>
      </w:r>
      <w:r w:rsidRPr="00381F2E">
        <w:rPr>
          <w:sz w:val="22"/>
          <w:szCs w:val="22"/>
        </w:rPr>
        <w:t>(PER)</w:t>
      </w:r>
    </w:p>
    <w:p w:rsidR="00381F2E" w:rsidRPr="00381F2E" w:rsidRDefault="00381F2E" w:rsidP="00381F2E">
      <w:pPr>
        <w:autoSpaceDE w:val="0"/>
        <w:autoSpaceDN w:val="0"/>
        <w:adjustRightInd w:val="0"/>
        <w:ind w:left="1582" w:firstLine="119"/>
        <w:jc w:val="both"/>
        <w:rPr>
          <w:sz w:val="22"/>
          <w:szCs w:val="22"/>
        </w:rPr>
      </w:pPr>
      <w:r w:rsidRPr="00381F2E">
        <w:rPr>
          <w:sz w:val="22"/>
          <w:szCs w:val="22"/>
        </w:rPr>
        <w:t>e = Variabel Pengganggu</w:t>
      </w:r>
    </w:p>
    <w:p w:rsidR="00381F2E" w:rsidRPr="00381F2E" w:rsidRDefault="00381F2E" w:rsidP="00381F2E">
      <w:pPr>
        <w:jc w:val="both"/>
        <w:rPr>
          <w:sz w:val="22"/>
          <w:szCs w:val="22"/>
        </w:rPr>
      </w:pPr>
    </w:p>
    <w:p w:rsidR="00381F2E" w:rsidRDefault="00381F2E" w:rsidP="00381F2E">
      <w:pPr>
        <w:jc w:val="both"/>
        <w:rPr>
          <w:sz w:val="22"/>
          <w:szCs w:val="22"/>
        </w:rPr>
      </w:pPr>
      <w:r>
        <w:rPr>
          <w:sz w:val="22"/>
          <w:szCs w:val="22"/>
        </w:rPr>
        <w:t>D</w:t>
      </w:r>
      <w:r w:rsidRPr="00381F2E">
        <w:rPr>
          <w:sz w:val="22"/>
          <w:szCs w:val="22"/>
        </w:rPr>
        <w:t>engan model ini maka hipotesis yang digunakan dalam penelitian ini sebagai beriku:</w:t>
      </w:r>
    </w:p>
    <w:p w:rsidR="00381F2E" w:rsidRDefault="00381F2E" w:rsidP="00381F2E">
      <w:pPr>
        <w:jc w:val="both"/>
        <w:rPr>
          <w:sz w:val="22"/>
          <w:szCs w:val="22"/>
        </w:rPr>
      </w:pPr>
      <w:r>
        <w:rPr>
          <w:noProof/>
          <w:sz w:val="22"/>
          <w:szCs w:val="22"/>
        </w:rPr>
        <mc:AlternateContent>
          <mc:Choice Requires="wps">
            <w:drawing>
              <wp:anchor distT="0" distB="0" distL="114300" distR="114300" simplePos="0" relativeHeight="251661312" behindDoc="0" locked="0" layoutInCell="1" allowOverlap="1" wp14:anchorId="316B6886" wp14:editId="0095BA1F">
                <wp:simplePos x="0" y="0"/>
                <wp:positionH relativeFrom="column">
                  <wp:posOffset>434340</wp:posOffset>
                </wp:positionH>
                <wp:positionV relativeFrom="paragraph">
                  <wp:posOffset>84455</wp:posOffset>
                </wp:positionV>
                <wp:extent cx="514350" cy="3238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143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F2E" w:rsidRPr="00381F2E" w:rsidRDefault="00381F2E" w:rsidP="00381F2E">
                            <w:pPr>
                              <w:rPr>
                                <w:sz w:val="22"/>
                                <w:szCs w:val="22"/>
                              </w:rPr>
                            </w:pPr>
                            <w:r>
                              <w:rPr>
                                <w:sz w:val="22"/>
                                <w:szCs w:val="22"/>
                              </w:rPr>
                              <w:t>BV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6B6886" id="_x0000_t202" coordsize="21600,21600" o:spt="202" path="m,l,21600r21600,l21600,xe">
                <v:stroke joinstyle="miter"/>
                <v:path gradientshapeok="t" o:connecttype="rect"/>
              </v:shapetype>
              <v:shape id="Text Box 2" o:spid="_x0000_s1026" type="#_x0000_t202" style="position:absolute;left:0;text-align:left;margin-left:34.2pt;margin-top:6.65pt;width:40.5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" fillcolor="white [3201]" strokeweight=".5pt">
                <v:textbox>
                  <w:txbxContent>
                    <w:p w:rsidR="00381F2E" w:rsidRPr="00381F2E" w:rsidRDefault="00381F2E" w:rsidP="00381F2E">
                      <w:pPr>
                        <w:rPr>
                          <w:sz w:val="22"/>
                          <w:szCs w:val="22"/>
                        </w:rPr>
                      </w:pPr>
                      <w:r>
                        <w:rPr>
                          <w:sz w:val="22"/>
                          <w:szCs w:val="22"/>
                        </w:rPr>
                        <w:t>BV</w:t>
                      </w:r>
                    </w:p>
                  </w:txbxContent>
                </v:textbox>
              </v:shape>
            </w:pict>
          </mc:Fallback>
        </mc:AlternateContent>
      </w:r>
    </w:p>
    <w:p w:rsidR="00381F2E" w:rsidRDefault="00D02E0A" w:rsidP="00381F2E">
      <w:pPr>
        <w:jc w:val="both"/>
        <w:rPr>
          <w:sz w:val="22"/>
          <w:szCs w:val="22"/>
        </w:rPr>
      </w:pPr>
      <w:r>
        <w:rPr>
          <w:noProof/>
          <w:sz w:val="22"/>
          <w:szCs w:val="22"/>
        </w:rPr>
        <mc:AlternateContent>
          <mc:Choice Requires="wps">
            <w:drawing>
              <wp:anchor distT="0" distB="0" distL="114300" distR="114300" simplePos="0" relativeHeight="251670528" behindDoc="0" locked="0" layoutInCell="1" allowOverlap="1">
                <wp:simplePos x="0" y="0"/>
                <wp:positionH relativeFrom="column">
                  <wp:posOffset>948689</wp:posOffset>
                </wp:positionH>
                <wp:positionV relativeFrom="paragraph">
                  <wp:posOffset>76200</wp:posOffset>
                </wp:positionV>
                <wp:extent cx="1990725" cy="762000"/>
                <wp:effectExtent l="0" t="0" r="66675" b="57150"/>
                <wp:wrapNone/>
                <wp:docPr id="8" name="Straight Arrow Connector 8"/>
                <wp:cNvGraphicFramePr/>
                <a:graphic xmlns:a="http://schemas.openxmlformats.org/drawingml/2006/main">
                  <a:graphicData uri="http://schemas.microsoft.com/office/word/2010/wordprocessingShape">
                    <wps:wsp>
                      <wps:cNvCnPr/>
                      <wps:spPr>
                        <a:xfrm>
                          <a:off x="0" y="0"/>
                          <a:ext cx="1990725" cy="762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63D52B0" id="_x0000_t32" coordsize="21600,21600" o:spt="32" o:oned="t" path="m,l21600,21600e" filled="f">
                <v:path arrowok="t" fillok="f" o:connecttype="none"/>
                <o:lock v:ext="edit" shapetype="t"/>
              </v:shapetype>
              <v:shape id="Straight Arrow Connector 8" o:spid="_x0000_s1026" type="#_x0000_t32" style="position:absolute;margin-left:74.7pt;margin-top:6pt;width:156.75pt;height:60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" strokecolor="black [3040]">
                <v:stroke endarrow="block"/>
              </v:shape>
            </w:pict>
          </mc:Fallback>
        </mc:AlternateContent>
      </w:r>
    </w:p>
    <w:p w:rsidR="00381F2E" w:rsidRDefault="00381F2E" w:rsidP="00381F2E">
      <w:pPr>
        <w:jc w:val="both"/>
        <w:rPr>
          <w:sz w:val="22"/>
          <w:szCs w:val="22"/>
        </w:rPr>
      </w:pPr>
      <w:r>
        <w:rPr>
          <w:noProof/>
          <w:sz w:val="22"/>
          <w:szCs w:val="22"/>
        </w:rPr>
        <mc:AlternateContent>
          <mc:Choice Requires="wps">
            <w:drawing>
              <wp:anchor distT="0" distB="0" distL="114300" distR="114300" simplePos="0" relativeHeight="251663360" behindDoc="0" locked="0" layoutInCell="1" allowOverlap="1" wp14:anchorId="1AF979C7" wp14:editId="6FC193F1">
                <wp:simplePos x="0" y="0"/>
                <wp:positionH relativeFrom="column">
                  <wp:posOffset>434340</wp:posOffset>
                </wp:positionH>
                <wp:positionV relativeFrom="paragraph">
                  <wp:posOffset>163195</wp:posOffset>
                </wp:positionV>
                <wp:extent cx="514350" cy="3238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5143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F2E" w:rsidRPr="00381F2E" w:rsidRDefault="00381F2E" w:rsidP="00381F2E">
                            <w:pPr>
                              <w:rPr>
                                <w:sz w:val="22"/>
                                <w:szCs w:val="22"/>
                              </w:rPr>
                            </w:pPr>
                            <w:r>
                              <w:rPr>
                                <w:sz w:val="22"/>
                                <w:szCs w:val="22"/>
                              </w:rPr>
                              <w:t>PBV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979C7" id="Text Box 3" o:spid="_x0000_s1027" type="#_x0000_t202" style="position:absolute;left:0;text-align:left;margin-left:34.2pt;margin-top:12.85pt;width:40.5pt;height: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" fillcolor="white [3201]" strokeweight=".5pt">
                <v:textbox>
                  <w:txbxContent>
                    <w:p w:rsidR="00381F2E" w:rsidRPr="00381F2E" w:rsidRDefault="00381F2E" w:rsidP="00381F2E">
                      <w:pPr>
                        <w:rPr>
                          <w:sz w:val="22"/>
                          <w:szCs w:val="22"/>
                        </w:rPr>
                      </w:pPr>
                      <w:r>
                        <w:rPr>
                          <w:sz w:val="22"/>
                          <w:szCs w:val="22"/>
                        </w:rPr>
                        <w:t>PBV</w:t>
                      </w:r>
                    </w:p>
                  </w:txbxContent>
                </v:textbox>
              </v:shape>
            </w:pict>
          </mc:Fallback>
        </mc:AlternateContent>
      </w:r>
    </w:p>
    <w:p w:rsidR="00381F2E" w:rsidRDefault="00D02E0A" w:rsidP="00381F2E">
      <w:pPr>
        <w:jc w:val="both"/>
        <w:rPr>
          <w:sz w:val="22"/>
          <w:szCs w:val="22"/>
        </w:rPr>
      </w:pPr>
      <w:r>
        <w:rPr>
          <w:noProof/>
          <w:sz w:val="22"/>
          <w:szCs w:val="22"/>
        </w:rPr>
        <mc:AlternateContent>
          <mc:Choice Requires="wps">
            <w:drawing>
              <wp:anchor distT="0" distB="0" distL="114300" distR="114300" simplePos="0" relativeHeight="251671552" behindDoc="0" locked="0" layoutInCell="1" allowOverlap="1">
                <wp:simplePos x="0" y="0"/>
                <wp:positionH relativeFrom="column">
                  <wp:posOffset>948689</wp:posOffset>
                </wp:positionH>
                <wp:positionV relativeFrom="paragraph">
                  <wp:posOffset>145415</wp:posOffset>
                </wp:positionV>
                <wp:extent cx="1990725" cy="371475"/>
                <wp:effectExtent l="0" t="0" r="47625" b="85725"/>
                <wp:wrapNone/>
                <wp:docPr id="9" name="Straight Arrow Connector 9"/>
                <wp:cNvGraphicFramePr/>
                <a:graphic xmlns:a="http://schemas.openxmlformats.org/drawingml/2006/main">
                  <a:graphicData uri="http://schemas.microsoft.com/office/word/2010/wordprocessingShape">
                    <wps:wsp>
                      <wps:cNvCnPr/>
                      <wps:spPr>
                        <a:xfrm>
                          <a:off x="0" y="0"/>
                          <a:ext cx="1990725"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0C553AC" id="Straight Arrow Connector 9" o:spid="_x0000_s1026" type="#_x0000_t32" style="position:absolute;margin-left:74.7pt;margin-top:11.45pt;width:156.75pt;height:29.2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" strokecolor="black [3040]">
                <v:stroke endarrow="block"/>
              </v:shape>
            </w:pict>
          </mc:Fallback>
        </mc:AlternateContent>
      </w:r>
    </w:p>
    <w:p w:rsidR="00381F2E" w:rsidRDefault="00D02E0A" w:rsidP="00381F2E">
      <w:pPr>
        <w:jc w:val="both"/>
        <w:rPr>
          <w:szCs w:val="24"/>
        </w:rPr>
      </w:pPr>
      <w:r>
        <w:rPr>
          <w:noProof/>
          <w:sz w:val="22"/>
          <w:szCs w:val="22"/>
        </w:rPr>
        <mc:AlternateContent>
          <mc:Choice Requires="wps">
            <w:drawing>
              <wp:anchor distT="0" distB="0" distL="114300" distR="114300" simplePos="0" relativeHeight="251659264" behindDoc="0" locked="0" layoutInCell="1" allowOverlap="1" wp14:anchorId="5BA02464" wp14:editId="29A10824">
                <wp:simplePos x="0" y="0"/>
                <wp:positionH relativeFrom="column">
                  <wp:posOffset>2939415</wp:posOffset>
                </wp:positionH>
                <wp:positionV relativeFrom="paragraph">
                  <wp:posOffset>165735</wp:posOffset>
                </wp:positionV>
                <wp:extent cx="981075" cy="4000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98107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F2E" w:rsidRPr="00381F2E" w:rsidRDefault="00381F2E">
                            <w:pPr>
                              <w:rPr>
                                <w:sz w:val="22"/>
                                <w:szCs w:val="22"/>
                              </w:rPr>
                            </w:pPr>
                            <w:r w:rsidRPr="00381F2E">
                              <w:rPr>
                                <w:sz w:val="22"/>
                                <w:szCs w:val="22"/>
                              </w:rPr>
                              <w:t>Harga Saham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A02464" id="Text Box 1" o:spid="_x0000_s1028" type="#_x0000_t202" style="position:absolute;left:0;text-align:left;margin-left:231.45pt;margin-top:13.05pt;width:77.25pt;height: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" fillcolor="white [3201]" strokeweight=".5pt">
                <v:textbox>
                  <w:txbxContent>
                    <w:p w:rsidR="00381F2E" w:rsidRPr="00381F2E" w:rsidRDefault="00381F2E">
                      <w:pPr>
                        <w:rPr>
                          <w:sz w:val="22"/>
                          <w:szCs w:val="22"/>
                        </w:rPr>
                      </w:pPr>
                      <w:r w:rsidRPr="00381F2E">
                        <w:rPr>
                          <w:sz w:val="22"/>
                          <w:szCs w:val="22"/>
                        </w:rPr>
                        <w:t>Harga Saham</w:t>
                      </w:r>
                    </w:p>
                  </w:txbxContent>
                </v:textbox>
              </v:shape>
            </w:pict>
          </mc:Fallback>
        </mc:AlternateContent>
      </w:r>
    </w:p>
    <w:p w:rsidR="00381F2E" w:rsidRDefault="00D02E0A" w:rsidP="00381F2E">
      <w:pPr>
        <w:spacing w:after="240"/>
        <w:jc w:val="both"/>
        <w:rPr>
          <w:sz w:val="22"/>
          <w:szCs w:val="22"/>
        </w:rPr>
      </w:pPr>
      <w:r>
        <w:rPr>
          <w:noProof/>
          <w:sz w:val="22"/>
          <w:szCs w:val="22"/>
        </w:rPr>
        <mc:AlternateContent>
          <mc:Choice Requires="wps">
            <w:drawing>
              <wp:anchor distT="0" distB="0" distL="114300" distR="114300" simplePos="0" relativeHeight="251674624" behindDoc="0" locked="0" layoutInCell="1" allowOverlap="1">
                <wp:simplePos x="0" y="0"/>
                <wp:positionH relativeFrom="column">
                  <wp:posOffset>948689</wp:posOffset>
                </wp:positionH>
                <wp:positionV relativeFrom="paragraph">
                  <wp:posOffset>180975</wp:posOffset>
                </wp:positionV>
                <wp:extent cx="1990725" cy="819150"/>
                <wp:effectExtent l="0" t="38100" r="47625" b="19050"/>
                <wp:wrapNone/>
                <wp:docPr id="12" name="Straight Arrow Connector 12"/>
                <wp:cNvGraphicFramePr/>
                <a:graphic xmlns:a="http://schemas.openxmlformats.org/drawingml/2006/main">
                  <a:graphicData uri="http://schemas.microsoft.com/office/word/2010/wordprocessingShape">
                    <wps:wsp>
                      <wps:cNvCnPr/>
                      <wps:spPr>
                        <a:xfrm flipV="1">
                          <a:off x="0" y="0"/>
                          <a:ext cx="1990725" cy="819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C5E908" id="Straight Arrow Connector 12" o:spid="_x0000_s1026" type="#_x0000_t32" style="position:absolute;margin-left:74.7pt;margin-top:14.25pt;width:156.75pt;height:64.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" strokecolor="black [3040]">
                <v:stroke endarrow="block"/>
              </v:shape>
            </w:pict>
          </mc:Fallback>
        </mc:AlternateContent>
      </w:r>
      <w:r>
        <w:rPr>
          <w:noProof/>
          <w:sz w:val="22"/>
          <w:szCs w:val="22"/>
        </w:rPr>
        <mc:AlternateContent>
          <mc:Choice Requires="wps">
            <w:drawing>
              <wp:anchor distT="0" distB="0" distL="114300" distR="114300" simplePos="0" relativeHeight="251673600" behindDoc="0" locked="0" layoutInCell="1" allowOverlap="1">
                <wp:simplePos x="0" y="0"/>
                <wp:positionH relativeFrom="column">
                  <wp:posOffset>948690</wp:posOffset>
                </wp:positionH>
                <wp:positionV relativeFrom="paragraph">
                  <wp:posOffset>180975</wp:posOffset>
                </wp:positionV>
                <wp:extent cx="1990725" cy="514350"/>
                <wp:effectExtent l="0" t="57150" r="0" b="19050"/>
                <wp:wrapNone/>
                <wp:docPr id="11" name="Straight Arrow Connector 11"/>
                <wp:cNvGraphicFramePr/>
                <a:graphic xmlns:a="http://schemas.openxmlformats.org/drawingml/2006/main">
                  <a:graphicData uri="http://schemas.microsoft.com/office/word/2010/wordprocessingShape">
                    <wps:wsp>
                      <wps:cNvCnPr/>
                      <wps:spPr>
                        <a:xfrm flipV="1">
                          <a:off x="0" y="0"/>
                          <a:ext cx="1990725"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89FE7EC" id="Straight Arrow Connector 11" o:spid="_x0000_s1026" type="#_x0000_t32" style="position:absolute;margin-left:74.7pt;margin-top:14.25pt;width:156.75pt;height:40.5pt;flip:y;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" strokecolor="black [3040]">
                <v:stroke endarrow="block"/>
              </v:shape>
            </w:pict>
          </mc:Fallback>
        </mc:AlternateContent>
      </w:r>
      <w:r>
        <w:rPr>
          <w:noProof/>
          <w:sz w:val="22"/>
          <w:szCs w:val="22"/>
        </w:rPr>
        <mc:AlternateContent>
          <mc:Choice Requires="wps">
            <w:drawing>
              <wp:anchor distT="0" distB="0" distL="114300" distR="114300" simplePos="0" relativeHeight="251672576" behindDoc="0" locked="0" layoutInCell="1" allowOverlap="1">
                <wp:simplePos x="0" y="0"/>
                <wp:positionH relativeFrom="column">
                  <wp:posOffset>948689</wp:posOffset>
                </wp:positionH>
                <wp:positionV relativeFrom="paragraph">
                  <wp:posOffset>180975</wp:posOffset>
                </wp:positionV>
                <wp:extent cx="1990725" cy="0"/>
                <wp:effectExtent l="0" t="76200" r="9525" b="95250"/>
                <wp:wrapNone/>
                <wp:docPr id="10" name="Straight Arrow Connector 10"/>
                <wp:cNvGraphicFramePr/>
                <a:graphic xmlns:a="http://schemas.openxmlformats.org/drawingml/2006/main">
                  <a:graphicData uri="http://schemas.microsoft.com/office/word/2010/wordprocessingShape">
                    <wps:wsp>
                      <wps:cNvCnPr/>
                      <wps:spPr>
                        <a:xfrm>
                          <a:off x="0" y="0"/>
                          <a:ext cx="19907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C68AC89" id="Straight Arrow Connector 10" o:spid="_x0000_s1026" type="#_x0000_t32" style="position:absolute;margin-left:74.7pt;margin-top:14.25pt;width:156.7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" strokecolor="black [3040]">
                <v:stroke endarrow="block"/>
              </v:shape>
            </w:pict>
          </mc:Fallback>
        </mc:AlternateContent>
      </w:r>
      <w:r>
        <w:rPr>
          <w:noProof/>
          <w:sz w:val="22"/>
          <w:szCs w:val="22"/>
        </w:rPr>
        <mc:AlternateContent>
          <mc:Choice Requires="wps">
            <w:drawing>
              <wp:anchor distT="0" distB="0" distL="114300" distR="114300" simplePos="0" relativeHeight="251665408" behindDoc="0" locked="0" layoutInCell="1" allowOverlap="1" wp14:anchorId="08E6CDD8" wp14:editId="19738FAB">
                <wp:simplePos x="0" y="0"/>
                <wp:positionH relativeFrom="column">
                  <wp:posOffset>438150</wp:posOffset>
                </wp:positionH>
                <wp:positionV relativeFrom="paragraph">
                  <wp:posOffset>52705</wp:posOffset>
                </wp:positionV>
                <wp:extent cx="514350" cy="3238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143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2E0A" w:rsidRPr="00381F2E" w:rsidRDefault="00D02E0A" w:rsidP="00D02E0A">
                            <w:pPr>
                              <w:rPr>
                                <w:sz w:val="22"/>
                                <w:szCs w:val="22"/>
                              </w:rPr>
                            </w:pPr>
                            <w:r>
                              <w:rPr>
                                <w:sz w:val="22"/>
                                <w:szCs w:val="22"/>
                              </w:rPr>
                              <w: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6CDD8" id="Text Box 5" o:spid="_x0000_s1029" type="#_x0000_t202" style="position:absolute;left:0;text-align:left;margin-left:34.5pt;margin-top:4.15pt;width:40.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" fillcolor="white [3201]" strokeweight=".5pt">
                <v:textbox>
                  <w:txbxContent>
                    <w:p w:rsidR="00D02E0A" w:rsidRPr="00381F2E" w:rsidRDefault="00D02E0A" w:rsidP="00D02E0A">
                      <w:pPr>
                        <w:rPr>
                          <w:sz w:val="22"/>
                          <w:szCs w:val="22"/>
                        </w:rPr>
                      </w:pPr>
                      <w:r>
                        <w:rPr>
                          <w:sz w:val="22"/>
                          <w:szCs w:val="22"/>
                        </w:rPr>
                        <w:t>EPS</w:t>
                      </w:r>
                    </w:p>
                  </w:txbxContent>
                </v:textbox>
              </v:shape>
            </w:pict>
          </mc:Fallback>
        </mc:AlternateContent>
      </w:r>
    </w:p>
    <w:p w:rsidR="00381F2E" w:rsidRDefault="00D02E0A" w:rsidP="00381F2E">
      <w:pPr>
        <w:spacing w:after="240"/>
        <w:jc w:val="both"/>
        <w:rPr>
          <w:sz w:val="22"/>
          <w:szCs w:val="22"/>
        </w:rPr>
      </w:pPr>
      <w:r>
        <w:rPr>
          <w:noProof/>
          <w:sz w:val="22"/>
          <w:szCs w:val="22"/>
        </w:rPr>
        <mc:AlternateContent>
          <mc:Choice Requires="wps">
            <w:drawing>
              <wp:anchor distT="0" distB="0" distL="114300" distR="114300" simplePos="0" relativeHeight="251667456" behindDoc="0" locked="0" layoutInCell="1" allowOverlap="1" wp14:anchorId="3817C675" wp14:editId="032549F8">
                <wp:simplePos x="0" y="0"/>
                <wp:positionH relativeFrom="column">
                  <wp:posOffset>438150</wp:posOffset>
                </wp:positionH>
                <wp:positionV relativeFrom="paragraph">
                  <wp:posOffset>132715</wp:posOffset>
                </wp:positionV>
                <wp:extent cx="514350" cy="3238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5143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2E0A" w:rsidRPr="00381F2E" w:rsidRDefault="00D02E0A" w:rsidP="00D02E0A">
                            <w:pPr>
                              <w:rPr>
                                <w:sz w:val="22"/>
                                <w:szCs w:val="22"/>
                              </w:rPr>
                            </w:pPr>
                            <w:r>
                              <w:rPr>
                                <w:sz w:val="22"/>
                                <w:szCs w:val="22"/>
                              </w:rPr>
                              <w:t>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7C675" id="Text Box 6" o:spid="_x0000_s1030" type="#_x0000_t202" style="position:absolute;left:0;text-align:left;margin-left:34.5pt;margin-top:10.45pt;width:40.5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" fillcolor="white [3201]" strokeweight=".5pt">
                <v:textbox>
                  <w:txbxContent>
                    <w:p w:rsidR="00D02E0A" w:rsidRPr="00381F2E" w:rsidRDefault="00D02E0A" w:rsidP="00D02E0A">
                      <w:pPr>
                        <w:rPr>
                          <w:sz w:val="22"/>
                          <w:szCs w:val="22"/>
                        </w:rPr>
                      </w:pPr>
                      <w:r>
                        <w:rPr>
                          <w:sz w:val="22"/>
                          <w:szCs w:val="22"/>
                        </w:rPr>
                        <w:t>DER</w:t>
                      </w:r>
                    </w:p>
                  </w:txbxContent>
                </v:textbox>
              </v:shape>
            </w:pict>
          </mc:Fallback>
        </mc:AlternateContent>
      </w:r>
    </w:p>
    <w:p w:rsidR="00381F2E" w:rsidRDefault="00D02E0A" w:rsidP="00381F2E">
      <w:pPr>
        <w:spacing w:after="240"/>
        <w:jc w:val="both"/>
        <w:rPr>
          <w:sz w:val="22"/>
          <w:szCs w:val="22"/>
        </w:rPr>
      </w:pPr>
      <w:r>
        <w:rPr>
          <w:noProof/>
          <w:sz w:val="22"/>
          <w:szCs w:val="22"/>
        </w:rPr>
        <mc:AlternateContent>
          <mc:Choice Requires="wps">
            <w:drawing>
              <wp:anchor distT="0" distB="0" distL="114300" distR="114300" simplePos="0" relativeHeight="251669504" behindDoc="0" locked="0" layoutInCell="1" allowOverlap="1" wp14:anchorId="61EB4D42" wp14:editId="1AFFC5E1">
                <wp:simplePos x="0" y="0"/>
                <wp:positionH relativeFrom="column">
                  <wp:posOffset>438150</wp:posOffset>
                </wp:positionH>
                <wp:positionV relativeFrom="paragraph">
                  <wp:posOffset>198120</wp:posOffset>
                </wp:positionV>
                <wp:extent cx="514350" cy="3238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143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2E0A" w:rsidRPr="00381F2E" w:rsidRDefault="00D02E0A" w:rsidP="00D02E0A">
                            <w:pPr>
                              <w:rPr>
                                <w:sz w:val="22"/>
                                <w:szCs w:val="22"/>
                              </w:rPr>
                            </w:pPr>
                            <w:r>
                              <w:rPr>
                                <w:sz w:val="22"/>
                                <w:szCs w:val="22"/>
                              </w:rPr>
                              <w:t>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B4D42" id="Text Box 7" o:spid="_x0000_s1031" type="#_x0000_t202" style="position:absolute;left:0;text-align:left;margin-left:34.5pt;margin-top:15.6pt;width:40.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" fillcolor="white [3201]" strokeweight=".5pt">
                <v:textbox>
                  <w:txbxContent>
                    <w:p w:rsidR="00D02E0A" w:rsidRPr="00381F2E" w:rsidRDefault="00D02E0A" w:rsidP="00D02E0A">
                      <w:pPr>
                        <w:rPr>
                          <w:sz w:val="22"/>
                          <w:szCs w:val="22"/>
                        </w:rPr>
                      </w:pPr>
                      <w:r>
                        <w:rPr>
                          <w:sz w:val="22"/>
                          <w:szCs w:val="22"/>
                        </w:rPr>
                        <w:t>PER</w:t>
                      </w:r>
                    </w:p>
                  </w:txbxContent>
                </v:textbox>
              </v:shape>
            </w:pict>
          </mc:Fallback>
        </mc:AlternateContent>
      </w:r>
    </w:p>
    <w:p w:rsidR="00D02E0A" w:rsidRDefault="00D02E0A" w:rsidP="00D02E0A">
      <w:pPr>
        <w:pStyle w:val="Heading1"/>
        <w:suppressAutoHyphens/>
        <w:spacing w:after="60"/>
        <w:rPr>
          <w:b w:val="0"/>
          <w:i w:val="0"/>
          <w:sz w:val="22"/>
          <w:szCs w:val="22"/>
        </w:rPr>
      </w:pPr>
    </w:p>
    <w:p w:rsidR="00D02E0A" w:rsidRDefault="00D02E0A" w:rsidP="00D02E0A">
      <w:pPr>
        <w:rPr>
          <w:sz w:val="22"/>
          <w:szCs w:val="22"/>
        </w:rPr>
      </w:pPr>
    </w:p>
    <w:p w:rsidR="00D02E0A" w:rsidRPr="00D02E0A" w:rsidRDefault="00D02E0A" w:rsidP="00D02E0A">
      <w:pPr>
        <w:rPr>
          <w:sz w:val="22"/>
          <w:szCs w:val="22"/>
        </w:rPr>
      </w:pPr>
      <w:r>
        <w:rPr>
          <w:sz w:val="22"/>
          <w:szCs w:val="22"/>
        </w:rPr>
        <w:t>Sumber: Penulis</w:t>
      </w:r>
    </w:p>
    <w:p w:rsidR="00D02E0A" w:rsidRPr="00D02E0A" w:rsidRDefault="00D02E0A" w:rsidP="00D02E0A"/>
    <w:p w:rsidR="00D73172" w:rsidRPr="001C0C46" w:rsidRDefault="00D73172" w:rsidP="004B7814">
      <w:pPr>
        <w:pStyle w:val="Heading1"/>
        <w:numPr>
          <w:ilvl w:val="0"/>
          <w:numId w:val="6"/>
        </w:numPr>
        <w:suppressAutoHyphens/>
        <w:spacing w:after="60"/>
        <w:ind w:left="360"/>
        <w:rPr>
          <w:i w:val="0"/>
          <w:sz w:val="22"/>
          <w:szCs w:val="22"/>
        </w:rPr>
      </w:pPr>
      <w:r w:rsidRPr="001C0C46">
        <w:rPr>
          <w:i w:val="0"/>
          <w:sz w:val="22"/>
          <w:szCs w:val="22"/>
        </w:rPr>
        <w:t>HASIL DAN PEMBAHASAN</w:t>
      </w:r>
    </w:p>
    <w:p w:rsidR="00467D33" w:rsidRDefault="00D02E0A" w:rsidP="004B7814">
      <w:pPr>
        <w:pStyle w:val="Heading1"/>
        <w:numPr>
          <w:ilvl w:val="1"/>
          <w:numId w:val="7"/>
        </w:numPr>
        <w:suppressAutoHyphens/>
        <w:spacing w:after="60"/>
        <w:rPr>
          <w:i w:val="0"/>
          <w:sz w:val="22"/>
          <w:szCs w:val="22"/>
        </w:rPr>
      </w:pPr>
      <w:r>
        <w:rPr>
          <w:i w:val="0"/>
          <w:sz w:val="22"/>
          <w:szCs w:val="22"/>
        </w:rPr>
        <w:t>Gambaran Umum Objek Penelitian</w:t>
      </w:r>
    </w:p>
    <w:p w:rsidR="00D02E0A" w:rsidRDefault="00D02E0A" w:rsidP="00D02E0A">
      <w:pPr>
        <w:ind w:firstLine="426"/>
        <w:jc w:val="both"/>
        <w:rPr>
          <w:rFonts w:asciiTheme="majorBidi" w:hAnsiTheme="majorBidi" w:cstheme="majorBidi"/>
          <w:szCs w:val="24"/>
        </w:rPr>
      </w:pPr>
      <w:r w:rsidRPr="00D02E0A">
        <w:rPr>
          <w:rFonts w:asciiTheme="majorBidi" w:hAnsiTheme="majorBidi" w:cstheme="majorBidi"/>
          <w:szCs w:val="24"/>
        </w:rPr>
        <w:t xml:space="preserve">Objek penelitian yang digunakan dalam penelitian ini adalah perusahaan-perusahaan yang tergabung dalam saham Jakarta </w:t>
      </w:r>
      <w:r w:rsidRPr="00D02E0A">
        <w:rPr>
          <w:rFonts w:asciiTheme="majorBidi" w:hAnsiTheme="majorBidi" w:cstheme="majorBidi"/>
          <w:i/>
          <w:iCs/>
          <w:szCs w:val="24"/>
        </w:rPr>
        <w:t>Islamic Indexs</w:t>
      </w:r>
      <w:r w:rsidRPr="00D02E0A">
        <w:rPr>
          <w:rFonts w:asciiTheme="majorBidi" w:hAnsiTheme="majorBidi" w:cstheme="majorBidi"/>
          <w:szCs w:val="24"/>
        </w:rPr>
        <w:t xml:space="preserve"> (JII) pada periode 2013-2018. Sampel yang digunakan dalam penelitian ini adalah 18 perusahaan yang tetap konsisten bergabung dengan JII dari tahun 2013-2018. Tabel 2 memperlihatkan data </w:t>
      </w:r>
      <w:proofErr w:type="gramStart"/>
      <w:r w:rsidRPr="00D02E0A">
        <w:rPr>
          <w:rFonts w:asciiTheme="majorBidi" w:hAnsiTheme="majorBidi" w:cstheme="majorBidi"/>
          <w:szCs w:val="24"/>
        </w:rPr>
        <w:t>nama</w:t>
      </w:r>
      <w:proofErr w:type="gramEnd"/>
      <w:r w:rsidRPr="00D02E0A">
        <w:rPr>
          <w:rFonts w:asciiTheme="majorBidi" w:hAnsiTheme="majorBidi" w:cstheme="majorBidi"/>
          <w:szCs w:val="24"/>
        </w:rPr>
        <w:t xml:space="preserve"> Perusahaan yang dijadikan sampel dalam penelitian ini:</w:t>
      </w:r>
    </w:p>
    <w:p w:rsidR="00D02E0A" w:rsidRPr="00D02E0A" w:rsidRDefault="00D02E0A" w:rsidP="00D02E0A">
      <w:pPr>
        <w:ind w:firstLine="426"/>
        <w:jc w:val="both"/>
        <w:rPr>
          <w:rFonts w:asciiTheme="majorBidi" w:hAnsiTheme="majorBidi" w:cstheme="majorBidi"/>
          <w:szCs w:val="24"/>
        </w:rPr>
      </w:pPr>
    </w:p>
    <w:p w:rsidR="00D02E0A" w:rsidRPr="00D02E0A" w:rsidRDefault="00D02E0A" w:rsidP="00D02E0A">
      <w:pPr>
        <w:jc w:val="both"/>
        <w:rPr>
          <w:rFonts w:asciiTheme="majorBidi" w:hAnsiTheme="majorBidi" w:cstheme="majorBidi"/>
          <w:szCs w:val="24"/>
        </w:rPr>
      </w:pPr>
      <w:r>
        <w:rPr>
          <w:rFonts w:asciiTheme="majorBidi" w:hAnsiTheme="majorBidi" w:cstheme="majorBidi"/>
          <w:szCs w:val="24"/>
        </w:rPr>
        <w:t>T</w:t>
      </w:r>
      <w:r w:rsidRPr="00D02E0A">
        <w:rPr>
          <w:rFonts w:asciiTheme="majorBidi" w:hAnsiTheme="majorBidi" w:cstheme="majorBidi"/>
          <w:szCs w:val="24"/>
        </w:rPr>
        <w:t>abel2. Daftar Perusahaan Sampel</w:t>
      </w:r>
    </w:p>
    <w:tbl>
      <w:tblPr>
        <w:tblStyle w:val="PlainTable2"/>
        <w:tblW w:w="9356" w:type="dxa"/>
        <w:tblLook w:val="04A0" w:firstRow="1" w:lastRow="0" w:firstColumn="1" w:lastColumn="0" w:noHBand="0" w:noVBand="1"/>
      </w:tblPr>
      <w:tblGrid>
        <w:gridCol w:w="511"/>
        <w:gridCol w:w="1190"/>
        <w:gridCol w:w="2835"/>
        <w:gridCol w:w="565"/>
        <w:gridCol w:w="1279"/>
        <w:gridCol w:w="2976"/>
      </w:tblGrid>
      <w:tr w:rsidR="00D02E0A" w:rsidTr="00D02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Borders>
              <w:top w:val="single" w:sz="4" w:space="0" w:color="7F7F7F" w:themeColor="text1" w:themeTint="80"/>
              <w:left w:val="nil"/>
              <w:right w:val="nil"/>
            </w:tcBorders>
            <w:hideMark/>
          </w:tcPr>
          <w:p w:rsidR="00D02E0A" w:rsidRDefault="00D02E0A">
            <w:pPr>
              <w:jc w:val="both"/>
              <w:rPr>
                <w:rFonts w:asciiTheme="majorBidi" w:hAnsiTheme="majorBidi" w:cstheme="majorBidi"/>
                <w:szCs w:val="24"/>
              </w:rPr>
            </w:pPr>
            <w:r>
              <w:rPr>
                <w:rFonts w:asciiTheme="majorBidi" w:hAnsiTheme="majorBidi" w:cstheme="majorBidi"/>
                <w:szCs w:val="24"/>
              </w:rPr>
              <w:t>No</w:t>
            </w:r>
          </w:p>
        </w:tc>
        <w:tc>
          <w:tcPr>
            <w:tcW w:w="1190"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Kode</w:t>
            </w:r>
          </w:p>
        </w:tc>
        <w:tc>
          <w:tcPr>
            <w:tcW w:w="2835"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Nama Perusahaan</w:t>
            </w:r>
          </w:p>
        </w:tc>
        <w:tc>
          <w:tcPr>
            <w:tcW w:w="565" w:type="dxa"/>
            <w:tcBorders>
              <w:top w:val="single" w:sz="4" w:space="0" w:color="7F7F7F" w:themeColor="text1" w:themeTint="80"/>
              <w:left w:val="nil"/>
              <w:right w:val="nil"/>
            </w:tcBorders>
            <w:hideMark/>
          </w:tcPr>
          <w:p w:rsidR="00D02E0A" w:rsidRP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4"/>
              </w:rPr>
            </w:pPr>
            <w:r w:rsidRPr="00D02E0A">
              <w:rPr>
                <w:rFonts w:asciiTheme="majorBidi" w:hAnsiTheme="majorBidi" w:cstheme="majorBidi"/>
                <w:szCs w:val="24"/>
              </w:rPr>
              <w:t xml:space="preserve">No </w:t>
            </w:r>
          </w:p>
        </w:tc>
        <w:tc>
          <w:tcPr>
            <w:tcW w:w="1279"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Kode</w:t>
            </w:r>
          </w:p>
        </w:tc>
        <w:tc>
          <w:tcPr>
            <w:tcW w:w="2976"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Nama Perusahaan</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Borders>
              <w:left w:val="nil"/>
              <w:right w:val="nil"/>
            </w:tcBorders>
            <w:hideMark/>
          </w:tcPr>
          <w:p w:rsidR="00D02E0A" w:rsidRDefault="00D02E0A">
            <w:pPr>
              <w:jc w:val="both"/>
              <w:rPr>
                <w:rFonts w:asciiTheme="majorBidi" w:hAnsiTheme="majorBidi" w:cstheme="majorBidi"/>
                <w:szCs w:val="24"/>
              </w:rPr>
            </w:pPr>
            <w:r>
              <w:rPr>
                <w:rFonts w:asciiTheme="majorBidi" w:hAnsiTheme="majorBidi" w:cstheme="majorBidi"/>
                <w:szCs w:val="24"/>
              </w:rPr>
              <w:t>1</w:t>
            </w:r>
          </w:p>
        </w:tc>
        <w:tc>
          <w:tcPr>
            <w:tcW w:w="1190"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AALI</w:t>
            </w:r>
          </w:p>
        </w:tc>
        <w:tc>
          <w:tcPr>
            <w:tcW w:w="2835"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Astro Argo Lestari Tbk.</w:t>
            </w:r>
          </w:p>
        </w:tc>
        <w:tc>
          <w:tcPr>
            <w:tcW w:w="565" w:type="dxa"/>
            <w:tcBorders>
              <w:left w:val="nil"/>
              <w:right w:val="nil"/>
            </w:tcBorders>
            <w:hideMark/>
          </w:tcPr>
          <w:p w:rsidR="00D02E0A" w:rsidRP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Cs w:val="24"/>
              </w:rPr>
            </w:pPr>
            <w:r w:rsidRPr="00D02E0A">
              <w:rPr>
                <w:rFonts w:asciiTheme="majorBidi" w:hAnsiTheme="majorBidi" w:cstheme="majorBidi"/>
                <w:b/>
                <w:bCs/>
                <w:szCs w:val="24"/>
              </w:rPr>
              <w:t>10</w:t>
            </w:r>
          </w:p>
        </w:tc>
        <w:tc>
          <w:tcPr>
            <w:tcW w:w="1279"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KLBF</w:t>
            </w:r>
          </w:p>
        </w:tc>
        <w:tc>
          <w:tcPr>
            <w:tcW w:w="2976"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Kalbe Farmasi Tbk</w:t>
            </w:r>
          </w:p>
        </w:tc>
      </w:tr>
      <w:tr w:rsidR="00D02E0A" w:rsidTr="00D02E0A">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nil"/>
              <w:right w:val="nil"/>
            </w:tcBorders>
            <w:hideMark/>
          </w:tcPr>
          <w:p w:rsidR="00D02E0A" w:rsidRDefault="00D02E0A">
            <w:pPr>
              <w:jc w:val="both"/>
              <w:rPr>
                <w:rFonts w:asciiTheme="majorBidi" w:hAnsiTheme="majorBidi" w:cstheme="majorBidi"/>
                <w:szCs w:val="24"/>
              </w:rPr>
            </w:pPr>
            <w:r>
              <w:rPr>
                <w:rFonts w:asciiTheme="majorBidi" w:hAnsiTheme="majorBidi" w:cstheme="majorBidi"/>
                <w:szCs w:val="24"/>
              </w:rPr>
              <w:t>2</w:t>
            </w:r>
          </w:p>
        </w:tc>
        <w:tc>
          <w:tcPr>
            <w:tcW w:w="1190"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ABBA</w:t>
            </w:r>
          </w:p>
        </w:tc>
        <w:tc>
          <w:tcPr>
            <w:tcW w:w="2835"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Mahaka Media Tbk</w:t>
            </w:r>
          </w:p>
        </w:tc>
        <w:tc>
          <w:tcPr>
            <w:tcW w:w="565" w:type="dxa"/>
            <w:tcBorders>
              <w:top w:val="nil"/>
              <w:left w:val="nil"/>
              <w:bottom w:val="nil"/>
              <w:right w:val="nil"/>
            </w:tcBorders>
            <w:hideMark/>
          </w:tcPr>
          <w:p w:rsidR="00D02E0A" w:rsidRP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Cs w:val="24"/>
              </w:rPr>
            </w:pPr>
            <w:r w:rsidRPr="00D02E0A">
              <w:rPr>
                <w:rFonts w:asciiTheme="majorBidi" w:hAnsiTheme="majorBidi" w:cstheme="majorBidi"/>
                <w:b/>
                <w:bCs/>
                <w:szCs w:val="24"/>
              </w:rPr>
              <w:t>11</w:t>
            </w:r>
          </w:p>
        </w:tc>
        <w:tc>
          <w:tcPr>
            <w:tcW w:w="1279"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LPKR</w:t>
            </w:r>
          </w:p>
        </w:tc>
        <w:tc>
          <w:tcPr>
            <w:tcW w:w="2976"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Lippo Karawaci Tbk</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Borders>
              <w:left w:val="nil"/>
              <w:right w:val="nil"/>
            </w:tcBorders>
            <w:hideMark/>
          </w:tcPr>
          <w:p w:rsidR="00D02E0A" w:rsidRDefault="00D02E0A">
            <w:pPr>
              <w:jc w:val="both"/>
              <w:rPr>
                <w:rFonts w:asciiTheme="majorBidi" w:hAnsiTheme="majorBidi" w:cstheme="majorBidi"/>
                <w:szCs w:val="24"/>
              </w:rPr>
            </w:pPr>
            <w:r>
              <w:rPr>
                <w:rFonts w:asciiTheme="majorBidi" w:hAnsiTheme="majorBidi" w:cstheme="majorBidi"/>
                <w:szCs w:val="24"/>
              </w:rPr>
              <w:t>3</w:t>
            </w:r>
          </w:p>
        </w:tc>
        <w:tc>
          <w:tcPr>
            <w:tcW w:w="1190"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ADRO</w:t>
            </w:r>
          </w:p>
        </w:tc>
        <w:tc>
          <w:tcPr>
            <w:tcW w:w="2835"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Adaro Energy Tbk.</w:t>
            </w:r>
          </w:p>
        </w:tc>
        <w:tc>
          <w:tcPr>
            <w:tcW w:w="565" w:type="dxa"/>
            <w:tcBorders>
              <w:left w:val="nil"/>
              <w:right w:val="nil"/>
            </w:tcBorders>
            <w:hideMark/>
          </w:tcPr>
          <w:p w:rsidR="00D02E0A" w:rsidRP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Cs w:val="24"/>
              </w:rPr>
            </w:pPr>
            <w:r w:rsidRPr="00D02E0A">
              <w:rPr>
                <w:rFonts w:asciiTheme="majorBidi" w:hAnsiTheme="majorBidi" w:cstheme="majorBidi"/>
                <w:b/>
                <w:bCs/>
                <w:szCs w:val="24"/>
              </w:rPr>
              <w:t>12</w:t>
            </w:r>
          </w:p>
        </w:tc>
        <w:tc>
          <w:tcPr>
            <w:tcW w:w="1279"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LSIP</w:t>
            </w:r>
          </w:p>
        </w:tc>
        <w:tc>
          <w:tcPr>
            <w:tcW w:w="2976"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PP London Sumatra Indonesia Tbk</w:t>
            </w:r>
          </w:p>
        </w:tc>
      </w:tr>
      <w:tr w:rsidR="00D02E0A" w:rsidTr="00D02E0A">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nil"/>
              <w:right w:val="nil"/>
            </w:tcBorders>
            <w:hideMark/>
          </w:tcPr>
          <w:p w:rsidR="00D02E0A" w:rsidRDefault="00D02E0A">
            <w:pPr>
              <w:jc w:val="both"/>
              <w:rPr>
                <w:rFonts w:asciiTheme="majorBidi" w:hAnsiTheme="majorBidi" w:cstheme="majorBidi"/>
                <w:szCs w:val="24"/>
              </w:rPr>
            </w:pPr>
            <w:r>
              <w:rPr>
                <w:rFonts w:asciiTheme="majorBidi" w:hAnsiTheme="majorBidi" w:cstheme="majorBidi"/>
                <w:szCs w:val="24"/>
              </w:rPr>
              <w:t>4</w:t>
            </w:r>
          </w:p>
        </w:tc>
        <w:tc>
          <w:tcPr>
            <w:tcW w:w="1190"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AKRA</w:t>
            </w:r>
          </w:p>
        </w:tc>
        <w:tc>
          <w:tcPr>
            <w:tcW w:w="2835"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AKR Corporindo Tbk</w:t>
            </w:r>
          </w:p>
        </w:tc>
        <w:tc>
          <w:tcPr>
            <w:tcW w:w="565" w:type="dxa"/>
            <w:tcBorders>
              <w:top w:val="nil"/>
              <w:left w:val="nil"/>
              <w:bottom w:val="nil"/>
              <w:right w:val="nil"/>
            </w:tcBorders>
            <w:hideMark/>
          </w:tcPr>
          <w:p w:rsidR="00D02E0A" w:rsidRP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Cs w:val="24"/>
              </w:rPr>
            </w:pPr>
            <w:r w:rsidRPr="00D02E0A">
              <w:rPr>
                <w:rFonts w:asciiTheme="majorBidi" w:hAnsiTheme="majorBidi" w:cstheme="majorBidi"/>
                <w:b/>
                <w:bCs/>
                <w:szCs w:val="24"/>
              </w:rPr>
              <w:t>14</w:t>
            </w:r>
          </w:p>
        </w:tc>
        <w:tc>
          <w:tcPr>
            <w:tcW w:w="1279"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PGAS</w:t>
            </w:r>
          </w:p>
        </w:tc>
        <w:tc>
          <w:tcPr>
            <w:tcW w:w="2976"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Perusahaan Gas Negara (Persero) Tbk</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Borders>
              <w:left w:val="nil"/>
              <w:right w:val="nil"/>
            </w:tcBorders>
            <w:hideMark/>
          </w:tcPr>
          <w:p w:rsidR="00D02E0A" w:rsidRDefault="00D02E0A">
            <w:pPr>
              <w:jc w:val="both"/>
              <w:rPr>
                <w:rFonts w:asciiTheme="majorBidi" w:hAnsiTheme="majorBidi" w:cstheme="majorBidi"/>
                <w:szCs w:val="24"/>
              </w:rPr>
            </w:pPr>
            <w:r>
              <w:rPr>
                <w:rFonts w:asciiTheme="majorBidi" w:hAnsiTheme="majorBidi" w:cstheme="majorBidi"/>
                <w:szCs w:val="24"/>
              </w:rPr>
              <w:t>5</w:t>
            </w:r>
          </w:p>
        </w:tc>
        <w:tc>
          <w:tcPr>
            <w:tcW w:w="1190"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ASII</w:t>
            </w:r>
          </w:p>
        </w:tc>
        <w:tc>
          <w:tcPr>
            <w:tcW w:w="2835"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Astra Internatinal Tbk</w:t>
            </w:r>
          </w:p>
        </w:tc>
        <w:tc>
          <w:tcPr>
            <w:tcW w:w="565" w:type="dxa"/>
            <w:tcBorders>
              <w:left w:val="nil"/>
              <w:right w:val="nil"/>
            </w:tcBorders>
            <w:hideMark/>
          </w:tcPr>
          <w:p w:rsidR="00D02E0A" w:rsidRP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Cs w:val="24"/>
              </w:rPr>
            </w:pPr>
            <w:r w:rsidRPr="00D02E0A">
              <w:rPr>
                <w:rFonts w:asciiTheme="majorBidi" w:hAnsiTheme="majorBidi" w:cstheme="majorBidi"/>
                <w:b/>
                <w:bCs/>
                <w:szCs w:val="24"/>
              </w:rPr>
              <w:t>14</w:t>
            </w:r>
          </w:p>
        </w:tc>
        <w:tc>
          <w:tcPr>
            <w:tcW w:w="1279"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SMGR</w:t>
            </w:r>
          </w:p>
        </w:tc>
        <w:tc>
          <w:tcPr>
            <w:tcW w:w="2976"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Semen Indonesia (Persero)</w:t>
            </w:r>
          </w:p>
        </w:tc>
      </w:tr>
      <w:tr w:rsidR="00D02E0A" w:rsidTr="00D02E0A">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nil"/>
              <w:right w:val="nil"/>
            </w:tcBorders>
            <w:hideMark/>
          </w:tcPr>
          <w:p w:rsidR="00D02E0A" w:rsidRDefault="00D02E0A">
            <w:pPr>
              <w:jc w:val="both"/>
              <w:rPr>
                <w:rFonts w:asciiTheme="majorBidi" w:hAnsiTheme="majorBidi" w:cstheme="majorBidi"/>
                <w:szCs w:val="24"/>
              </w:rPr>
            </w:pPr>
            <w:r>
              <w:rPr>
                <w:rFonts w:asciiTheme="majorBidi" w:hAnsiTheme="majorBidi" w:cstheme="majorBidi"/>
                <w:szCs w:val="24"/>
              </w:rPr>
              <w:t>6</w:t>
            </w:r>
          </w:p>
        </w:tc>
        <w:tc>
          <w:tcPr>
            <w:tcW w:w="1190"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BSDE</w:t>
            </w:r>
          </w:p>
        </w:tc>
        <w:tc>
          <w:tcPr>
            <w:tcW w:w="2835"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Bumi Serpong damai Tbk</w:t>
            </w:r>
          </w:p>
        </w:tc>
        <w:tc>
          <w:tcPr>
            <w:tcW w:w="565" w:type="dxa"/>
            <w:tcBorders>
              <w:top w:val="nil"/>
              <w:left w:val="nil"/>
              <w:bottom w:val="nil"/>
              <w:right w:val="nil"/>
            </w:tcBorders>
            <w:hideMark/>
          </w:tcPr>
          <w:p w:rsidR="00D02E0A" w:rsidRP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Cs w:val="24"/>
              </w:rPr>
            </w:pPr>
            <w:r w:rsidRPr="00D02E0A">
              <w:rPr>
                <w:rFonts w:asciiTheme="majorBidi" w:hAnsiTheme="majorBidi" w:cstheme="majorBidi"/>
                <w:b/>
                <w:bCs/>
                <w:szCs w:val="24"/>
              </w:rPr>
              <w:t>15</w:t>
            </w:r>
          </w:p>
        </w:tc>
        <w:tc>
          <w:tcPr>
            <w:tcW w:w="1279"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TLKM</w:t>
            </w:r>
          </w:p>
        </w:tc>
        <w:tc>
          <w:tcPr>
            <w:tcW w:w="2976"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Telekomunikasi Indonesia (Persero) Tbk</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Borders>
              <w:left w:val="nil"/>
              <w:right w:val="nil"/>
            </w:tcBorders>
            <w:hideMark/>
          </w:tcPr>
          <w:p w:rsidR="00D02E0A" w:rsidRDefault="00D02E0A">
            <w:pPr>
              <w:jc w:val="both"/>
              <w:rPr>
                <w:rFonts w:asciiTheme="majorBidi" w:hAnsiTheme="majorBidi" w:cstheme="majorBidi"/>
                <w:szCs w:val="24"/>
              </w:rPr>
            </w:pPr>
            <w:r>
              <w:rPr>
                <w:rFonts w:asciiTheme="majorBidi" w:hAnsiTheme="majorBidi" w:cstheme="majorBidi"/>
                <w:szCs w:val="24"/>
              </w:rPr>
              <w:t>7</w:t>
            </w:r>
          </w:p>
        </w:tc>
        <w:tc>
          <w:tcPr>
            <w:tcW w:w="1190"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ICBP</w:t>
            </w:r>
          </w:p>
        </w:tc>
        <w:tc>
          <w:tcPr>
            <w:tcW w:w="2835"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Indofood CBP SUkses Makmur Tbk</w:t>
            </w:r>
          </w:p>
        </w:tc>
        <w:tc>
          <w:tcPr>
            <w:tcW w:w="565" w:type="dxa"/>
            <w:tcBorders>
              <w:left w:val="nil"/>
              <w:right w:val="nil"/>
            </w:tcBorders>
            <w:hideMark/>
          </w:tcPr>
          <w:p w:rsidR="00D02E0A" w:rsidRP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Cs w:val="24"/>
              </w:rPr>
            </w:pPr>
            <w:r w:rsidRPr="00D02E0A">
              <w:rPr>
                <w:rFonts w:asciiTheme="majorBidi" w:hAnsiTheme="majorBidi" w:cstheme="majorBidi"/>
                <w:b/>
                <w:bCs/>
                <w:szCs w:val="24"/>
              </w:rPr>
              <w:t>16</w:t>
            </w:r>
          </w:p>
        </w:tc>
        <w:tc>
          <w:tcPr>
            <w:tcW w:w="1279"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UNTR</w:t>
            </w:r>
          </w:p>
        </w:tc>
        <w:tc>
          <w:tcPr>
            <w:tcW w:w="2976"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United Tracors Tbk</w:t>
            </w:r>
          </w:p>
        </w:tc>
      </w:tr>
      <w:tr w:rsidR="00D02E0A" w:rsidTr="00D02E0A">
        <w:tc>
          <w:tcPr>
            <w:cnfStyle w:val="001000000000" w:firstRow="0" w:lastRow="0" w:firstColumn="1" w:lastColumn="0" w:oddVBand="0" w:evenVBand="0" w:oddHBand="0" w:evenHBand="0" w:firstRowFirstColumn="0" w:firstRowLastColumn="0" w:lastRowFirstColumn="0" w:lastRowLastColumn="0"/>
            <w:tcW w:w="511" w:type="dxa"/>
            <w:tcBorders>
              <w:top w:val="nil"/>
              <w:left w:val="nil"/>
              <w:bottom w:val="nil"/>
              <w:right w:val="nil"/>
            </w:tcBorders>
            <w:hideMark/>
          </w:tcPr>
          <w:p w:rsidR="00D02E0A" w:rsidRDefault="00D02E0A">
            <w:pPr>
              <w:jc w:val="both"/>
              <w:rPr>
                <w:rFonts w:asciiTheme="majorBidi" w:hAnsiTheme="majorBidi" w:cstheme="majorBidi"/>
                <w:szCs w:val="24"/>
              </w:rPr>
            </w:pPr>
            <w:r>
              <w:rPr>
                <w:rFonts w:asciiTheme="majorBidi" w:hAnsiTheme="majorBidi" w:cstheme="majorBidi"/>
                <w:szCs w:val="24"/>
              </w:rPr>
              <w:t>8</w:t>
            </w:r>
          </w:p>
        </w:tc>
        <w:tc>
          <w:tcPr>
            <w:tcW w:w="1190"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INDF</w:t>
            </w:r>
          </w:p>
        </w:tc>
        <w:tc>
          <w:tcPr>
            <w:tcW w:w="2835"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Indofood sukses Makmur Tbk</w:t>
            </w:r>
          </w:p>
        </w:tc>
        <w:tc>
          <w:tcPr>
            <w:tcW w:w="565" w:type="dxa"/>
            <w:tcBorders>
              <w:top w:val="nil"/>
              <w:left w:val="nil"/>
              <w:bottom w:val="nil"/>
              <w:right w:val="nil"/>
            </w:tcBorders>
            <w:hideMark/>
          </w:tcPr>
          <w:p w:rsidR="00D02E0A" w:rsidRP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Cs w:val="24"/>
              </w:rPr>
            </w:pPr>
            <w:r w:rsidRPr="00D02E0A">
              <w:rPr>
                <w:rFonts w:asciiTheme="majorBidi" w:hAnsiTheme="majorBidi" w:cstheme="majorBidi"/>
                <w:b/>
                <w:bCs/>
                <w:szCs w:val="24"/>
              </w:rPr>
              <w:t>17</w:t>
            </w:r>
          </w:p>
        </w:tc>
        <w:tc>
          <w:tcPr>
            <w:tcW w:w="1279"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UNVR</w:t>
            </w:r>
          </w:p>
        </w:tc>
        <w:tc>
          <w:tcPr>
            <w:tcW w:w="2976"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Unilever Indonesia Tbk</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 w:type="dxa"/>
            <w:tcBorders>
              <w:left w:val="nil"/>
              <w:right w:val="nil"/>
            </w:tcBorders>
            <w:hideMark/>
          </w:tcPr>
          <w:p w:rsidR="00D02E0A" w:rsidRDefault="00D02E0A">
            <w:pPr>
              <w:jc w:val="both"/>
              <w:rPr>
                <w:rFonts w:asciiTheme="majorBidi" w:hAnsiTheme="majorBidi" w:cstheme="majorBidi"/>
                <w:szCs w:val="24"/>
              </w:rPr>
            </w:pPr>
            <w:r>
              <w:rPr>
                <w:rFonts w:asciiTheme="majorBidi" w:hAnsiTheme="majorBidi" w:cstheme="majorBidi"/>
                <w:szCs w:val="24"/>
              </w:rPr>
              <w:t>9</w:t>
            </w:r>
          </w:p>
        </w:tc>
        <w:tc>
          <w:tcPr>
            <w:tcW w:w="1190"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INTP</w:t>
            </w:r>
          </w:p>
        </w:tc>
        <w:tc>
          <w:tcPr>
            <w:tcW w:w="2835"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Indocement Tunggal Perkasa Tbk</w:t>
            </w:r>
          </w:p>
        </w:tc>
        <w:tc>
          <w:tcPr>
            <w:tcW w:w="565" w:type="dxa"/>
            <w:tcBorders>
              <w:left w:val="nil"/>
              <w:right w:val="nil"/>
            </w:tcBorders>
            <w:hideMark/>
          </w:tcPr>
          <w:p w:rsidR="00D02E0A" w:rsidRP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Cs w:val="24"/>
              </w:rPr>
            </w:pPr>
            <w:r w:rsidRPr="00D02E0A">
              <w:rPr>
                <w:rFonts w:asciiTheme="majorBidi" w:hAnsiTheme="majorBidi" w:cstheme="majorBidi"/>
                <w:b/>
                <w:bCs/>
                <w:szCs w:val="24"/>
              </w:rPr>
              <w:t>18</w:t>
            </w:r>
          </w:p>
        </w:tc>
        <w:tc>
          <w:tcPr>
            <w:tcW w:w="1279"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WIKA</w:t>
            </w:r>
          </w:p>
        </w:tc>
        <w:tc>
          <w:tcPr>
            <w:tcW w:w="2976"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Cs w:val="24"/>
              </w:rPr>
            </w:pPr>
            <w:r>
              <w:rPr>
                <w:rFonts w:asciiTheme="majorBidi" w:hAnsiTheme="majorBidi" w:cstheme="majorBidi"/>
                <w:szCs w:val="24"/>
              </w:rPr>
              <w:t>Wijaya Karya (Persero) Tbk</w:t>
            </w:r>
          </w:p>
        </w:tc>
      </w:tr>
    </w:tbl>
    <w:p w:rsidR="00D02E0A" w:rsidRPr="00D02E0A" w:rsidRDefault="00D02E0A" w:rsidP="00D02E0A">
      <w:pPr>
        <w:jc w:val="both"/>
        <w:rPr>
          <w:rFonts w:asciiTheme="majorBidi" w:hAnsiTheme="majorBidi" w:cstheme="majorBidi"/>
          <w:szCs w:val="24"/>
        </w:rPr>
      </w:pPr>
      <w:r w:rsidRPr="00D02E0A">
        <w:rPr>
          <w:rFonts w:asciiTheme="majorBidi" w:hAnsiTheme="majorBidi" w:cstheme="majorBidi"/>
          <w:szCs w:val="24"/>
        </w:rPr>
        <w:t xml:space="preserve">Sumber: </w:t>
      </w:r>
      <w:hyperlink r:id="rId13" w:history="1">
        <w:r w:rsidRPr="00D02E0A">
          <w:rPr>
            <w:rStyle w:val="Hyperlink"/>
            <w:rFonts w:asciiTheme="majorBidi" w:hAnsiTheme="majorBidi" w:cstheme="majorBidi"/>
            <w:szCs w:val="24"/>
          </w:rPr>
          <w:t>www.idx.co.ic</w:t>
        </w:r>
      </w:hyperlink>
      <w:r w:rsidRPr="00D02E0A">
        <w:rPr>
          <w:rFonts w:asciiTheme="majorBidi" w:hAnsiTheme="majorBidi" w:cstheme="majorBidi"/>
          <w:szCs w:val="24"/>
        </w:rPr>
        <w:t xml:space="preserve"> (Data Diolah, 2019)</w:t>
      </w:r>
    </w:p>
    <w:p w:rsidR="00D02E0A" w:rsidRPr="00D02E0A" w:rsidRDefault="00D02E0A" w:rsidP="00D02E0A">
      <w:pPr>
        <w:rPr>
          <w:b/>
          <w:bCs/>
        </w:rPr>
      </w:pPr>
    </w:p>
    <w:p w:rsidR="00670614" w:rsidRDefault="00D02E0A" w:rsidP="004B7814">
      <w:pPr>
        <w:pStyle w:val="Heading1"/>
        <w:numPr>
          <w:ilvl w:val="1"/>
          <w:numId w:val="7"/>
        </w:numPr>
        <w:suppressAutoHyphens/>
        <w:spacing w:after="60"/>
        <w:rPr>
          <w:i w:val="0"/>
          <w:sz w:val="22"/>
          <w:szCs w:val="22"/>
          <w:lang w:val="id-ID"/>
        </w:rPr>
      </w:pPr>
      <w:r>
        <w:rPr>
          <w:i w:val="0"/>
          <w:sz w:val="22"/>
          <w:szCs w:val="22"/>
        </w:rPr>
        <w:t xml:space="preserve">Hasil dan </w:t>
      </w:r>
      <w:r w:rsidR="00670614" w:rsidRPr="001C0C46">
        <w:rPr>
          <w:i w:val="0"/>
          <w:sz w:val="22"/>
          <w:szCs w:val="22"/>
          <w:lang w:val="id-ID"/>
        </w:rPr>
        <w:t>Pembahasan</w:t>
      </w:r>
    </w:p>
    <w:p w:rsidR="00D02E0A" w:rsidRDefault="00D02E0A" w:rsidP="00D02E0A">
      <w:pPr>
        <w:jc w:val="both"/>
        <w:rPr>
          <w:rFonts w:asciiTheme="majorBidi" w:hAnsiTheme="majorBidi" w:cstheme="majorBidi"/>
        </w:rPr>
      </w:pPr>
      <w:r>
        <w:rPr>
          <w:rFonts w:asciiTheme="majorBidi" w:hAnsiTheme="majorBidi" w:cstheme="majorBidi"/>
        </w:rPr>
        <w:t>Hasil statistik</w:t>
      </w:r>
      <w:r>
        <w:rPr>
          <w:rFonts w:asciiTheme="majorBidi" w:hAnsiTheme="majorBidi" w:cstheme="majorBidi"/>
        </w:rPr>
        <w:t xml:space="preserve"> </w:t>
      </w:r>
      <w:r>
        <w:rPr>
          <w:rFonts w:asciiTheme="majorBidi" w:hAnsiTheme="majorBidi" w:cstheme="majorBidi"/>
        </w:rPr>
        <w:t>deskriptif sidajikan dalam tabel</w:t>
      </w:r>
      <w:r>
        <w:rPr>
          <w:rFonts w:asciiTheme="majorBidi" w:hAnsiTheme="majorBidi" w:cstheme="majorBidi"/>
        </w:rPr>
        <w:t xml:space="preserve"> berikut:</w:t>
      </w:r>
    </w:p>
    <w:p w:rsidR="00D02E0A" w:rsidRDefault="00D02E0A" w:rsidP="00D02E0A">
      <w:pPr>
        <w:jc w:val="both"/>
        <w:rPr>
          <w:rFonts w:asciiTheme="majorBidi" w:hAnsiTheme="majorBidi" w:cstheme="majorBidi"/>
        </w:rPr>
      </w:pPr>
      <w:r>
        <w:rPr>
          <w:rFonts w:asciiTheme="majorBidi" w:hAnsiTheme="majorBidi" w:cstheme="majorBidi"/>
        </w:rPr>
        <w:t>Tabel 3. Analisis Deskriptif</w:t>
      </w:r>
    </w:p>
    <w:tbl>
      <w:tblPr>
        <w:tblStyle w:val="PlainTable2"/>
        <w:tblW w:w="0" w:type="auto"/>
        <w:tblLook w:val="04A0" w:firstRow="1" w:lastRow="0" w:firstColumn="1" w:lastColumn="0" w:noHBand="0" w:noVBand="1"/>
      </w:tblPr>
      <w:tblGrid>
        <w:gridCol w:w="1739"/>
        <w:gridCol w:w="680"/>
        <w:gridCol w:w="1510"/>
        <w:gridCol w:w="1515"/>
        <w:gridCol w:w="1453"/>
        <w:gridCol w:w="1610"/>
      </w:tblGrid>
      <w:tr w:rsidR="00D02E0A" w:rsidTr="00D02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7F7F7F" w:themeColor="text1" w:themeTint="80"/>
              <w:left w:val="nil"/>
              <w:right w:val="nil"/>
            </w:tcBorders>
            <w:hideMark/>
          </w:tcPr>
          <w:p w:rsidR="00D02E0A" w:rsidRDefault="00D02E0A">
            <w:pPr>
              <w:jc w:val="both"/>
              <w:rPr>
                <w:rFonts w:asciiTheme="majorBidi" w:hAnsiTheme="majorBidi" w:cstheme="majorBidi"/>
              </w:rPr>
            </w:pPr>
            <w:r>
              <w:rPr>
                <w:rFonts w:asciiTheme="majorBidi" w:hAnsiTheme="majorBidi" w:cstheme="majorBidi"/>
              </w:rPr>
              <w:t>Variabel</w:t>
            </w:r>
          </w:p>
        </w:tc>
        <w:tc>
          <w:tcPr>
            <w:tcW w:w="717"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N</w:t>
            </w:r>
          </w:p>
        </w:tc>
        <w:tc>
          <w:tcPr>
            <w:tcW w:w="1554"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Minimum</w:t>
            </w:r>
          </w:p>
        </w:tc>
        <w:tc>
          <w:tcPr>
            <w:tcW w:w="1554"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Maximum</w:t>
            </w:r>
          </w:p>
        </w:tc>
        <w:tc>
          <w:tcPr>
            <w:tcW w:w="1549"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Rata-rata</w:t>
            </w:r>
          </w:p>
        </w:tc>
        <w:tc>
          <w:tcPr>
            <w:tcW w:w="1610"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Std.Deviation</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left w:val="nil"/>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Harga Saham</w:t>
            </w:r>
          </w:p>
        </w:tc>
        <w:tc>
          <w:tcPr>
            <w:tcW w:w="717"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90</w:t>
            </w:r>
          </w:p>
        </w:tc>
        <w:tc>
          <w:tcPr>
            <w:tcW w:w="1554"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50</w:t>
            </w:r>
          </w:p>
        </w:tc>
        <w:tc>
          <w:tcPr>
            <w:tcW w:w="1554"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55900</w:t>
            </w:r>
          </w:p>
        </w:tc>
        <w:tc>
          <w:tcPr>
            <w:tcW w:w="1549"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8586</w:t>
            </w:r>
          </w:p>
        </w:tc>
        <w:tc>
          <w:tcPr>
            <w:tcW w:w="1610"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10443</w:t>
            </w:r>
          </w:p>
        </w:tc>
      </w:tr>
      <w:tr w:rsidR="00D02E0A" w:rsidTr="00D02E0A">
        <w:tc>
          <w:tcPr>
            <w:cnfStyle w:val="001000000000" w:firstRow="0" w:lastRow="0" w:firstColumn="1" w:lastColumn="0" w:oddVBand="0" w:evenVBand="0" w:oddHBand="0" w:evenHBand="0" w:firstRowFirstColumn="0" w:firstRowLastColumn="0" w:lastRowFirstColumn="0" w:lastRowLastColumn="0"/>
            <w:tcW w:w="1843" w:type="dxa"/>
            <w:tcBorders>
              <w:top w:val="nil"/>
              <w:left w:val="nil"/>
              <w:bottom w:val="nil"/>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BV</w:t>
            </w:r>
          </w:p>
        </w:tc>
        <w:tc>
          <w:tcPr>
            <w:tcW w:w="717"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90</w:t>
            </w:r>
          </w:p>
        </w:tc>
        <w:tc>
          <w:tcPr>
            <w:tcW w:w="1554"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43.11</w:t>
            </w:r>
          </w:p>
        </w:tc>
        <w:tc>
          <w:tcPr>
            <w:tcW w:w="1554"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12.744</w:t>
            </w:r>
          </w:p>
        </w:tc>
        <w:tc>
          <w:tcPr>
            <w:tcW w:w="1549"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13448</w:t>
            </w:r>
          </w:p>
        </w:tc>
        <w:tc>
          <w:tcPr>
            <w:tcW w:w="1610"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101268</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left w:val="nil"/>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PBV</w:t>
            </w:r>
          </w:p>
        </w:tc>
        <w:tc>
          <w:tcPr>
            <w:tcW w:w="717"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90</w:t>
            </w:r>
          </w:p>
        </w:tc>
        <w:tc>
          <w:tcPr>
            <w:tcW w:w="1554"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0.36</w:t>
            </w:r>
          </w:p>
        </w:tc>
        <w:tc>
          <w:tcPr>
            <w:tcW w:w="1554"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82.44</w:t>
            </w:r>
          </w:p>
        </w:tc>
        <w:tc>
          <w:tcPr>
            <w:tcW w:w="1549"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5.578</w:t>
            </w:r>
          </w:p>
        </w:tc>
        <w:tc>
          <w:tcPr>
            <w:tcW w:w="1610"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12.81</w:t>
            </w:r>
          </w:p>
        </w:tc>
      </w:tr>
      <w:tr w:rsidR="00D02E0A" w:rsidTr="00D02E0A">
        <w:tc>
          <w:tcPr>
            <w:cnfStyle w:val="001000000000" w:firstRow="0" w:lastRow="0" w:firstColumn="1" w:lastColumn="0" w:oddVBand="0" w:evenVBand="0" w:oddHBand="0" w:evenHBand="0" w:firstRowFirstColumn="0" w:firstRowLastColumn="0" w:lastRowFirstColumn="0" w:lastRowLastColumn="0"/>
            <w:tcW w:w="1843" w:type="dxa"/>
            <w:tcBorders>
              <w:top w:val="nil"/>
              <w:left w:val="nil"/>
              <w:bottom w:val="nil"/>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212</w:t>
            </w:r>
          </w:p>
        </w:tc>
        <w:tc>
          <w:tcPr>
            <w:tcW w:w="717"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90</w:t>
            </w:r>
          </w:p>
        </w:tc>
        <w:tc>
          <w:tcPr>
            <w:tcW w:w="1554"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-1477</w:t>
            </w:r>
          </w:p>
        </w:tc>
        <w:tc>
          <w:tcPr>
            <w:tcW w:w="1554"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1984.64</w:t>
            </w:r>
          </w:p>
        </w:tc>
        <w:tc>
          <w:tcPr>
            <w:tcW w:w="1549"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404.98</w:t>
            </w:r>
          </w:p>
        </w:tc>
        <w:tc>
          <w:tcPr>
            <w:tcW w:w="1610"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482.2256</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left w:val="nil"/>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DER</w:t>
            </w:r>
          </w:p>
        </w:tc>
        <w:tc>
          <w:tcPr>
            <w:tcW w:w="717"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90</w:t>
            </w:r>
          </w:p>
        </w:tc>
        <w:tc>
          <w:tcPr>
            <w:tcW w:w="1554"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0.13</w:t>
            </w:r>
          </w:p>
        </w:tc>
        <w:tc>
          <w:tcPr>
            <w:tcW w:w="1554"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212</w:t>
            </w:r>
          </w:p>
        </w:tc>
        <w:tc>
          <w:tcPr>
            <w:tcW w:w="1549"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4.463</w:t>
            </w:r>
          </w:p>
        </w:tc>
        <w:tc>
          <w:tcPr>
            <w:tcW w:w="1610"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24.891</w:t>
            </w:r>
          </w:p>
        </w:tc>
      </w:tr>
      <w:tr w:rsidR="00D02E0A" w:rsidTr="00D02E0A">
        <w:tc>
          <w:tcPr>
            <w:cnfStyle w:val="001000000000" w:firstRow="0" w:lastRow="0" w:firstColumn="1" w:lastColumn="0" w:oddVBand="0" w:evenVBand="0" w:oddHBand="0" w:evenHBand="0" w:firstRowFirstColumn="0" w:firstRowLastColumn="0" w:lastRowFirstColumn="0" w:lastRowLastColumn="0"/>
            <w:tcW w:w="1843" w:type="dxa"/>
            <w:tcBorders>
              <w:top w:val="nil"/>
              <w:left w:val="nil"/>
              <w:bottom w:val="single" w:sz="4" w:space="0" w:color="7F7F7F" w:themeColor="text1" w:themeTint="80"/>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PER</w:t>
            </w:r>
          </w:p>
        </w:tc>
        <w:tc>
          <w:tcPr>
            <w:tcW w:w="717" w:type="dxa"/>
            <w:tcBorders>
              <w:top w:val="nil"/>
              <w:left w:val="nil"/>
              <w:bottom w:val="single" w:sz="4" w:space="0" w:color="7F7F7F" w:themeColor="text1" w:themeTint="80"/>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90</w:t>
            </w:r>
          </w:p>
        </w:tc>
        <w:tc>
          <w:tcPr>
            <w:tcW w:w="1554" w:type="dxa"/>
            <w:tcBorders>
              <w:top w:val="nil"/>
              <w:left w:val="nil"/>
              <w:bottom w:val="single" w:sz="4" w:space="0" w:color="7F7F7F" w:themeColor="text1" w:themeTint="80"/>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-4378</w:t>
            </w:r>
          </w:p>
        </w:tc>
        <w:tc>
          <w:tcPr>
            <w:tcW w:w="1554" w:type="dxa"/>
            <w:tcBorders>
              <w:top w:val="nil"/>
              <w:left w:val="nil"/>
              <w:bottom w:val="single" w:sz="4" w:space="0" w:color="7F7F7F" w:themeColor="text1" w:themeTint="80"/>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60.89</w:t>
            </w:r>
          </w:p>
        </w:tc>
        <w:tc>
          <w:tcPr>
            <w:tcW w:w="1549" w:type="dxa"/>
            <w:tcBorders>
              <w:top w:val="nil"/>
              <w:left w:val="nil"/>
              <w:bottom w:val="single" w:sz="4" w:space="0" w:color="7F7F7F" w:themeColor="text1" w:themeTint="80"/>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-27.654</w:t>
            </w:r>
          </w:p>
        </w:tc>
        <w:tc>
          <w:tcPr>
            <w:tcW w:w="1610" w:type="dxa"/>
            <w:tcBorders>
              <w:top w:val="nil"/>
              <w:left w:val="nil"/>
              <w:bottom w:val="single" w:sz="4" w:space="0" w:color="7F7F7F" w:themeColor="text1" w:themeTint="80"/>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463.868</w:t>
            </w:r>
          </w:p>
        </w:tc>
      </w:tr>
    </w:tbl>
    <w:p w:rsidR="00D02E0A" w:rsidRDefault="00D02E0A" w:rsidP="00D02E0A">
      <w:pPr>
        <w:jc w:val="both"/>
        <w:rPr>
          <w:rFonts w:asciiTheme="majorBidi" w:hAnsiTheme="majorBidi" w:cstheme="majorBidi"/>
          <w:sz w:val="22"/>
          <w:szCs w:val="22"/>
        </w:rPr>
      </w:pPr>
      <w:r>
        <w:rPr>
          <w:rFonts w:asciiTheme="majorBidi" w:hAnsiTheme="majorBidi" w:cstheme="majorBidi"/>
        </w:rPr>
        <w:t>Sumber: Eviews 9 Data Diolah</w:t>
      </w:r>
    </w:p>
    <w:p w:rsidR="00D02E0A" w:rsidRDefault="00D02E0A" w:rsidP="00D02E0A">
      <w:pPr>
        <w:jc w:val="both"/>
        <w:rPr>
          <w:rFonts w:asciiTheme="majorBidi" w:hAnsiTheme="majorBidi" w:cstheme="majorBidi"/>
        </w:rPr>
      </w:pPr>
    </w:p>
    <w:p w:rsidR="00D02E0A" w:rsidRDefault="00D02E0A" w:rsidP="00D02E0A">
      <w:pPr>
        <w:ind w:firstLine="567"/>
        <w:jc w:val="both"/>
        <w:rPr>
          <w:rFonts w:asciiTheme="majorBidi" w:hAnsiTheme="majorBidi" w:cstheme="majorBidi"/>
        </w:rPr>
      </w:pPr>
      <w:r>
        <w:rPr>
          <w:rFonts w:asciiTheme="majorBidi" w:hAnsiTheme="majorBidi" w:cstheme="majorBidi"/>
        </w:rPr>
        <w:t>Sampel yang digunakan dalam penelitian ini berjumlah 90 sampel, yakni 18 perusahaan yang tetap konsisten bergabung pada indeks JII selama 5 tahun (2013-2017) berdasarkan table 3 dapat dilihat bahwa:</w:t>
      </w:r>
    </w:p>
    <w:p w:rsidR="00D02E0A" w:rsidRDefault="00D02E0A" w:rsidP="00D02E0A">
      <w:pPr>
        <w:pStyle w:val="ListParagraph"/>
        <w:numPr>
          <w:ilvl w:val="0"/>
          <w:numId w:val="8"/>
        </w:numPr>
        <w:spacing w:after="200"/>
        <w:jc w:val="both"/>
        <w:rPr>
          <w:rFonts w:asciiTheme="majorBidi" w:hAnsiTheme="majorBidi" w:cstheme="majorBidi"/>
        </w:rPr>
      </w:pPr>
      <w:r>
        <w:rPr>
          <w:rFonts w:asciiTheme="majorBidi" w:hAnsiTheme="majorBidi" w:cstheme="majorBidi"/>
        </w:rPr>
        <w:t>Variabel Harga (Y) memiliki nilai rata-rata sebesar Rp. 8.586,- dengan harga saham terendah Rp. 43,- dan harga saham tertinggi sebesar Rp. 55.900,- sedangkan standar deviasi sebesar Rp. 10.443,-. Perusahaan yang memiliki harga tertinggi pada indeks JII periode 2013-2016 adalah PT. Unilever Indonesia Tbk.</w:t>
      </w:r>
    </w:p>
    <w:p w:rsidR="00D02E0A" w:rsidRDefault="00D02E0A" w:rsidP="00D02E0A">
      <w:pPr>
        <w:pStyle w:val="ListParagraph"/>
        <w:numPr>
          <w:ilvl w:val="0"/>
          <w:numId w:val="8"/>
        </w:numPr>
        <w:spacing w:after="200"/>
        <w:jc w:val="both"/>
        <w:rPr>
          <w:rFonts w:asciiTheme="majorBidi" w:hAnsiTheme="majorBidi" w:cstheme="majorBidi"/>
        </w:rPr>
      </w:pPr>
      <w:r>
        <w:rPr>
          <w:rFonts w:asciiTheme="majorBidi" w:hAnsiTheme="majorBidi" w:cstheme="majorBidi"/>
        </w:rPr>
        <w:t>Variabel BV (X1) memiliki jumlah rata-rata Rp. 13.448,- dengan BV tertinggi sebesar Rp. 12.744,- dan BV terendah sebesar Rp. 43.11,-. Perusahaan dengan BV tertinggi di Indeks JII periode 2013-2017 adalah PT. United Tractor Tbk.</w:t>
      </w:r>
    </w:p>
    <w:p w:rsidR="00D02E0A" w:rsidRDefault="00D02E0A" w:rsidP="00D02E0A">
      <w:pPr>
        <w:pStyle w:val="ListParagraph"/>
        <w:numPr>
          <w:ilvl w:val="0"/>
          <w:numId w:val="8"/>
        </w:numPr>
        <w:spacing w:after="200"/>
        <w:jc w:val="both"/>
        <w:rPr>
          <w:rFonts w:asciiTheme="majorBidi" w:hAnsiTheme="majorBidi" w:cstheme="majorBidi"/>
        </w:rPr>
      </w:pPr>
      <w:r>
        <w:rPr>
          <w:rFonts w:asciiTheme="majorBidi" w:hAnsiTheme="majorBidi" w:cstheme="majorBidi"/>
        </w:rPr>
        <w:t>Variabel PBV (X2) memiliki jumlah rata-rata 5,578% dengan PBV tertinggi sebesar 82</w:t>
      </w:r>
      <w:proofErr w:type="gramStart"/>
      <w:r>
        <w:rPr>
          <w:rFonts w:asciiTheme="majorBidi" w:hAnsiTheme="majorBidi" w:cstheme="majorBidi"/>
        </w:rPr>
        <w:t>,44</w:t>
      </w:r>
      <w:proofErr w:type="gramEnd"/>
      <w:r>
        <w:rPr>
          <w:rFonts w:asciiTheme="majorBidi" w:hAnsiTheme="majorBidi" w:cstheme="majorBidi"/>
        </w:rPr>
        <w:t>% dan terendah sebesar 0,36%. Perusahaan dengan PBV tertinggi di Indeks JII pada periode 2013-2017 adalah PT. Unilever Indonesia Tbk.</w:t>
      </w:r>
    </w:p>
    <w:p w:rsidR="00D02E0A" w:rsidRDefault="00D02E0A" w:rsidP="00D02E0A">
      <w:pPr>
        <w:pStyle w:val="ListParagraph"/>
        <w:numPr>
          <w:ilvl w:val="0"/>
          <w:numId w:val="8"/>
        </w:numPr>
        <w:spacing w:after="200"/>
        <w:jc w:val="both"/>
        <w:rPr>
          <w:rFonts w:asciiTheme="majorBidi" w:hAnsiTheme="majorBidi" w:cstheme="majorBidi"/>
        </w:rPr>
      </w:pPr>
      <w:r>
        <w:rPr>
          <w:rFonts w:asciiTheme="majorBidi" w:hAnsiTheme="majorBidi" w:cstheme="majorBidi"/>
        </w:rPr>
        <w:t>Variabel EPS (X3) memiliki jumlah rata-</w:t>
      </w:r>
      <w:proofErr w:type="gramStart"/>
      <w:r>
        <w:rPr>
          <w:rFonts w:asciiTheme="majorBidi" w:hAnsiTheme="majorBidi" w:cstheme="majorBidi"/>
        </w:rPr>
        <w:t>rata  404,98</w:t>
      </w:r>
      <w:proofErr w:type="gramEnd"/>
      <w:r>
        <w:rPr>
          <w:rFonts w:asciiTheme="majorBidi" w:hAnsiTheme="majorBidi" w:cstheme="majorBidi"/>
        </w:rPr>
        <w:t>% dengan jumlah tertinggi sebesar 1984,64% dan terendah sebesar -1477. Perusahaan yang EPS tertinggi pada periode 2013-2017 di Indeks JII adalah PT United Tracors Tbk.</w:t>
      </w:r>
    </w:p>
    <w:p w:rsidR="00D02E0A" w:rsidRDefault="00D02E0A" w:rsidP="00D02E0A">
      <w:pPr>
        <w:pStyle w:val="ListParagraph"/>
        <w:numPr>
          <w:ilvl w:val="0"/>
          <w:numId w:val="8"/>
        </w:numPr>
        <w:spacing w:after="200"/>
        <w:jc w:val="both"/>
        <w:rPr>
          <w:rFonts w:asciiTheme="majorBidi" w:hAnsiTheme="majorBidi" w:cstheme="majorBidi"/>
        </w:rPr>
      </w:pPr>
      <w:r>
        <w:rPr>
          <w:rFonts w:asciiTheme="majorBidi" w:hAnsiTheme="majorBidi" w:cstheme="majorBidi"/>
        </w:rPr>
        <w:t xml:space="preserve">Variabel DER (X4) memiliki jumlah rata-rata sebesar 4.463% dengan jumlah DER tertinggi sebesar 212% dan terendah sebesar 0.13%. Perusahaan yang DER tertinggi periode 2013-2017 di Indeks </w:t>
      </w:r>
      <w:proofErr w:type="gramStart"/>
      <w:r>
        <w:rPr>
          <w:rFonts w:asciiTheme="majorBidi" w:hAnsiTheme="majorBidi" w:cstheme="majorBidi"/>
        </w:rPr>
        <w:t>JII  adalah</w:t>
      </w:r>
      <w:proofErr w:type="gramEnd"/>
      <w:r>
        <w:rPr>
          <w:rFonts w:asciiTheme="majorBidi" w:hAnsiTheme="majorBidi" w:cstheme="majorBidi"/>
        </w:rPr>
        <w:t xml:space="preserve"> PT Wijaya Karya (Persero) Tbk.</w:t>
      </w:r>
    </w:p>
    <w:p w:rsidR="00D02E0A" w:rsidRDefault="00D02E0A" w:rsidP="00D02E0A">
      <w:pPr>
        <w:pStyle w:val="ListParagraph"/>
        <w:numPr>
          <w:ilvl w:val="0"/>
          <w:numId w:val="8"/>
        </w:numPr>
        <w:spacing w:after="200"/>
        <w:jc w:val="both"/>
        <w:rPr>
          <w:rFonts w:asciiTheme="majorBidi" w:hAnsiTheme="majorBidi" w:cstheme="majorBidi"/>
        </w:rPr>
      </w:pPr>
      <w:r>
        <w:rPr>
          <w:rFonts w:asciiTheme="majorBidi" w:hAnsiTheme="majorBidi" w:cstheme="majorBidi"/>
        </w:rPr>
        <w:t>Variabel PER (X5) memiliki jumlah rata-rata sebesar -27,654%, dengan PER tertinggi sebesar 60.89% dan yang terendah sebesar -4378%. Perusahaan yang PER tertinggi pada periode 2013-2017 di Indeks JII adalah PT. Unilever Indonesia Tbk.</w:t>
      </w:r>
    </w:p>
    <w:p w:rsidR="00D02E0A" w:rsidRDefault="00D02E0A" w:rsidP="00D02E0A">
      <w:pPr>
        <w:ind w:left="360"/>
        <w:jc w:val="both"/>
        <w:rPr>
          <w:rFonts w:asciiTheme="majorBidi" w:hAnsiTheme="majorBidi" w:cstheme="majorBidi"/>
        </w:rPr>
      </w:pPr>
      <w:r>
        <w:rPr>
          <w:rFonts w:asciiTheme="majorBidi" w:hAnsiTheme="majorBidi" w:cstheme="majorBidi"/>
        </w:rPr>
        <w:t>Tabel 4. Hasil Pengujian Hipotesis</w:t>
      </w:r>
    </w:p>
    <w:tbl>
      <w:tblPr>
        <w:tblStyle w:val="PlainTable2"/>
        <w:tblW w:w="0" w:type="auto"/>
        <w:tblLook w:val="04A0" w:firstRow="1" w:lastRow="0" w:firstColumn="1" w:lastColumn="0" w:noHBand="0" w:noVBand="1"/>
      </w:tblPr>
      <w:tblGrid>
        <w:gridCol w:w="2141"/>
        <w:gridCol w:w="2128"/>
        <w:gridCol w:w="2129"/>
        <w:gridCol w:w="2109"/>
      </w:tblGrid>
      <w:tr w:rsidR="00D02E0A" w:rsidTr="00D02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top w:val="single" w:sz="4" w:space="0" w:color="7F7F7F" w:themeColor="text1" w:themeTint="80"/>
              <w:left w:val="nil"/>
              <w:right w:val="nil"/>
            </w:tcBorders>
            <w:hideMark/>
          </w:tcPr>
          <w:p w:rsidR="00D02E0A" w:rsidRDefault="00D02E0A">
            <w:pPr>
              <w:jc w:val="both"/>
              <w:rPr>
                <w:rFonts w:asciiTheme="majorBidi" w:hAnsiTheme="majorBidi" w:cstheme="majorBidi"/>
              </w:rPr>
            </w:pPr>
            <w:r>
              <w:rPr>
                <w:rFonts w:asciiTheme="majorBidi" w:hAnsiTheme="majorBidi" w:cstheme="majorBidi"/>
              </w:rPr>
              <w:t>Variabel</w:t>
            </w:r>
          </w:p>
        </w:tc>
        <w:tc>
          <w:tcPr>
            <w:tcW w:w="2337"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B</w:t>
            </w:r>
          </w:p>
        </w:tc>
        <w:tc>
          <w:tcPr>
            <w:tcW w:w="2338"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t</w:t>
            </w:r>
          </w:p>
        </w:tc>
        <w:tc>
          <w:tcPr>
            <w:tcW w:w="2338"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Sig</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left w:val="nil"/>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Konstanta</w:t>
            </w:r>
          </w:p>
        </w:tc>
        <w:tc>
          <w:tcPr>
            <w:tcW w:w="2337"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7.202582</w:t>
            </w:r>
          </w:p>
        </w:tc>
        <w:tc>
          <w:tcPr>
            <w:tcW w:w="2338"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61.47652</w:t>
            </w:r>
          </w:p>
        </w:tc>
        <w:tc>
          <w:tcPr>
            <w:tcW w:w="2338"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0.0000</w:t>
            </w:r>
          </w:p>
        </w:tc>
      </w:tr>
      <w:tr w:rsidR="00D02E0A" w:rsidTr="00D02E0A">
        <w:tc>
          <w:tcPr>
            <w:cnfStyle w:val="001000000000" w:firstRow="0" w:lastRow="0" w:firstColumn="1" w:lastColumn="0" w:oddVBand="0" w:evenVBand="0" w:oddHBand="0" w:evenHBand="0" w:firstRowFirstColumn="0" w:firstRowLastColumn="0" w:lastRowFirstColumn="0" w:lastRowLastColumn="0"/>
            <w:tcW w:w="2337" w:type="dxa"/>
            <w:tcBorders>
              <w:top w:val="nil"/>
              <w:left w:val="nil"/>
              <w:bottom w:val="nil"/>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BV</w:t>
            </w:r>
          </w:p>
        </w:tc>
        <w:tc>
          <w:tcPr>
            <w:tcW w:w="2337"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-5.46E-08</w:t>
            </w:r>
          </w:p>
        </w:tc>
        <w:tc>
          <w:tcPr>
            <w:tcW w:w="2338"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-0.063134</w:t>
            </w:r>
          </w:p>
        </w:tc>
        <w:tc>
          <w:tcPr>
            <w:tcW w:w="2338"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0.94948</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left w:val="nil"/>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PBV</w:t>
            </w:r>
          </w:p>
        </w:tc>
        <w:tc>
          <w:tcPr>
            <w:tcW w:w="2337"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0.027023</w:t>
            </w:r>
          </w:p>
        </w:tc>
        <w:tc>
          <w:tcPr>
            <w:tcW w:w="2338"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3.916070</w:t>
            </w:r>
          </w:p>
        </w:tc>
        <w:tc>
          <w:tcPr>
            <w:tcW w:w="2338"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0.0002</w:t>
            </w:r>
          </w:p>
        </w:tc>
      </w:tr>
      <w:tr w:rsidR="00D02E0A" w:rsidTr="00D02E0A">
        <w:tc>
          <w:tcPr>
            <w:cnfStyle w:val="001000000000" w:firstRow="0" w:lastRow="0" w:firstColumn="1" w:lastColumn="0" w:oddVBand="0" w:evenVBand="0" w:oddHBand="0" w:evenHBand="0" w:firstRowFirstColumn="0" w:firstRowLastColumn="0" w:lastRowFirstColumn="0" w:lastRowLastColumn="0"/>
            <w:tcW w:w="2337" w:type="dxa"/>
            <w:tcBorders>
              <w:top w:val="nil"/>
              <w:left w:val="nil"/>
              <w:bottom w:val="nil"/>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EPS</w:t>
            </w:r>
          </w:p>
        </w:tc>
        <w:tc>
          <w:tcPr>
            <w:tcW w:w="2337"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0.002262</w:t>
            </w:r>
          </w:p>
        </w:tc>
        <w:tc>
          <w:tcPr>
            <w:tcW w:w="2338"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12.13264</w:t>
            </w:r>
          </w:p>
        </w:tc>
        <w:tc>
          <w:tcPr>
            <w:tcW w:w="2338" w:type="dxa"/>
            <w:tcBorders>
              <w:top w:val="nil"/>
              <w:left w:val="nil"/>
              <w:bottom w:val="nil"/>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0.0000</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Borders>
              <w:left w:val="nil"/>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DER</w:t>
            </w:r>
          </w:p>
        </w:tc>
        <w:tc>
          <w:tcPr>
            <w:tcW w:w="2337"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0.000838</w:t>
            </w:r>
          </w:p>
        </w:tc>
        <w:tc>
          <w:tcPr>
            <w:tcW w:w="2338"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0.241491</w:t>
            </w:r>
          </w:p>
        </w:tc>
        <w:tc>
          <w:tcPr>
            <w:tcW w:w="2338"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Pr>
                <w:rFonts w:asciiTheme="majorBidi" w:hAnsiTheme="majorBidi" w:cstheme="majorBidi"/>
              </w:rPr>
              <w:t>0.8098</w:t>
            </w:r>
          </w:p>
        </w:tc>
      </w:tr>
      <w:tr w:rsidR="00D02E0A" w:rsidTr="00D02E0A">
        <w:tc>
          <w:tcPr>
            <w:cnfStyle w:val="001000000000" w:firstRow="0" w:lastRow="0" w:firstColumn="1" w:lastColumn="0" w:oddVBand="0" w:evenVBand="0" w:oddHBand="0" w:evenHBand="0" w:firstRowFirstColumn="0" w:firstRowLastColumn="0" w:lastRowFirstColumn="0" w:lastRowLastColumn="0"/>
            <w:tcW w:w="2337" w:type="dxa"/>
            <w:tcBorders>
              <w:top w:val="nil"/>
              <w:left w:val="nil"/>
              <w:bottom w:val="single" w:sz="4" w:space="0" w:color="7F7F7F" w:themeColor="text1" w:themeTint="80"/>
              <w:right w:val="nil"/>
            </w:tcBorders>
            <w:hideMark/>
          </w:tcPr>
          <w:p w:rsidR="00D02E0A" w:rsidRDefault="00D02E0A">
            <w:pPr>
              <w:jc w:val="both"/>
              <w:rPr>
                <w:rFonts w:asciiTheme="majorBidi" w:hAnsiTheme="majorBidi" w:cstheme="majorBidi"/>
                <w:b w:val="0"/>
                <w:bCs w:val="0"/>
              </w:rPr>
            </w:pPr>
            <w:r>
              <w:rPr>
                <w:rFonts w:asciiTheme="majorBidi" w:hAnsiTheme="majorBidi" w:cstheme="majorBidi"/>
                <w:b w:val="0"/>
                <w:bCs w:val="0"/>
              </w:rPr>
              <w:t>PER</w:t>
            </w:r>
          </w:p>
        </w:tc>
        <w:tc>
          <w:tcPr>
            <w:tcW w:w="2337" w:type="dxa"/>
            <w:tcBorders>
              <w:top w:val="nil"/>
              <w:left w:val="nil"/>
              <w:bottom w:val="single" w:sz="4" w:space="0" w:color="7F7F7F" w:themeColor="text1" w:themeTint="80"/>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0.000760</w:t>
            </w:r>
          </w:p>
        </w:tc>
        <w:tc>
          <w:tcPr>
            <w:tcW w:w="2338" w:type="dxa"/>
            <w:tcBorders>
              <w:top w:val="nil"/>
              <w:left w:val="nil"/>
              <w:bottom w:val="single" w:sz="4" w:space="0" w:color="7F7F7F" w:themeColor="text1" w:themeTint="80"/>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4.072249</w:t>
            </w:r>
          </w:p>
        </w:tc>
        <w:tc>
          <w:tcPr>
            <w:tcW w:w="2338" w:type="dxa"/>
            <w:tcBorders>
              <w:top w:val="nil"/>
              <w:left w:val="nil"/>
              <w:bottom w:val="single" w:sz="4" w:space="0" w:color="7F7F7F" w:themeColor="text1" w:themeTint="80"/>
              <w:right w:val="nil"/>
            </w:tcBorders>
            <w:hideMark/>
          </w:tcPr>
          <w:p w:rsidR="00D02E0A" w:rsidRDefault="00D02E0A">
            <w:pPr>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Pr>
                <w:rFonts w:asciiTheme="majorBidi" w:hAnsiTheme="majorBidi" w:cstheme="majorBidi"/>
              </w:rPr>
              <w:t>0.0001</w:t>
            </w:r>
          </w:p>
        </w:tc>
      </w:tr>
    </w:tbl>
    <w:p w:rsidR="00D02E0A" w:rsidRDefault="00D02E0A" w:rsidP="00D02E0A">
      <w:pPr>
        <w:ind w:left="360"/>
        <w:jc w:val="both"/>
        <w:rPr>
          <w:rFonts w:asciiTheme="majorBidi" w:hAnsiTheme="majorBidi" w:cstheme="majorBidi"/>
          <w:sz w:val="22"/>
          <w:szCs w:val="22"/>
        </w:rPr>
      </w:pPr>
      <w:r>
        <w:rPr>
          <w:rFonts w:asciiTheme="majorBidi" w:hAnsiTheme="majorBidi" w:cstheme="majorBidi"/>
        </w:rPr>
        <w:t>Sumber: Eviews 9 dioleh</w:t>
      </w:r>
    </w:p>
    <w:p w:rsidR="00D02E0A" w:rsidRDefault="00D02E0A" w:rsidP="00D02E0A">
      <w:pPr>
        <w:ind w:firstLine="426"/>
        <w:jc w:val="both"/>
        <w:rPr>
          <w:rStyle w:val="tlid-translation"/>
        </w:rPr>
      </w:pPr>
      <w:r>
        <w:rPr>
          <w:rFonts w:asciiTheme="majorBidi" w:hAnsiTheme="majorBidi" w:cstheme="majorBidi"/>
        </w:rPr>
        <w:t xml:space="preserve">Dari hasil perhitungan, dilihat angka signifikansi sebesar 0.94948 maka H1 tidak diterima karena 0.94948 &gt; 0.05, artinya tidak ada pengaruh antara variable X1 </w:t>
      </w:r>
      <w:r>
        <w:rPr>
          <w:rFonts w:asciiTheme="majorBidi" w:hAnsiTheme="majorBidi" w:cstheme="majorBidi"/>
          <w:i/>
          <w:iCs/>
        </w:rPr>
        <w:t xml:space="preserve">Book Value </w:t>
      </w:r>
      <w:r>
        <w:rPr>
          <w:rFonts w:asciiTheme="majorBidi" w:hAnsiTheme="majorBidi" w:cstheme="majorBidi"/>
        </w:rPr>
        <w:t xml:space="preserve">(BV) terhadap Harga Saham Perusahaan yang terdaftar di Indeks JII. Hasil ini didukung oleh Atika Amor yang mengatakan bahea tidak ada pengaruh </w:t>
      </w:r>
      <w:r>
        <w:rPr>
          <w:rFonts w:asciiTheme="majorBidi" w:hAnsiTheme="majorBidi" w:cstheme="majorBidi"/>
          <w:i/>
          <w:iCs/>
        </w:rPr>
        <w:t xml:space="preserve">Book Value </w:t>
      </w:r>
      <w:r>
        <w:rPr>
          <w:rFonts w:asciiTheme="majorBidi" w:hAnsiTheme="majorBidi" w:cstheme="majorBidi"/>
        </w:rPr>
        <w:t xml:space="preserve">tidak berpengaruh terhadap harga Saham </w:t>
      </w:r>
      <w:r>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{"citationItems":[{"id":"ITEM-1","itemData":{"author":[{"dropping-particle":"","family":"Atika Amor","given":"","non-dropping-particle":"","parse-names":false,"suffix":""}],"id":"ITEM-1","issued":{"date-parts":[["2016"]]},"publisher":"Universitas Andalas","title":"PENGARUH EARNING PER SHARE DAN BOOK VALUE TERHADAP HARGA SAHAM SEBELUM DAN SESUDAH ADOPSI IFRS: STUDI EMPIRIS PADA PERUSAHAAN MANUFAKTUR YANG TERDAFTAR DI BURSA EFEK INDONESIA PADA TAHUN 2008-2015","type":"thesis"},"uris":["http://www.mendeley.com/documents/?uuid=0159bc40-7c68-491b-912e-956d29026995"]}],"mendeley":{"formattedCitation":"(Atika Amor, 2016)","plainTextFormattedCitation":"(Atika Amor, 2016)","previouslyFormattedCitation":"(Atika Amor, 2016)"},"properties":{"noteIndex":0},"schema":"https://github.com/citation-style-language/schema/raw/master/csl-citation.json"}</w:instrText>
      </w:r>
      <w:r>
        <w:rPr>
          <w:rFonts w:asciiTheme="majorBidi" w:hAnsiTheme="majorBidi" w:cstheme="majorBidi"/>
        </w:rPr>
        <w:fldChar w:fldCharType="separate"/>
      </w:r>
      <w:r>
        <w:rPr>
          <w:rFonts w:asciiTheme="majorBidi" w:hAnsiTheme="majorBidi" w:cstheme="majorBidi"/>
          <w:noProof/>
        </w:rPr>
        <w:t>(Atika Amor, 2016)</w:t>
      </w:r>
      <w:r>
        <w:rPr>
          <w:rFonts w:asciiTheme="majorBidi" w:hAnsiTheme="majorBidi" w:cstheme="majorBidi"/>
        </w:rPr>
        <w:fldChar w:fldCharType="end"/>
      </w:r>
      <w:r>
        <w:rPr>
          <w:rFonts w:asciiTheme="majorBidi" w:hAnsiTheme="majorBidi" w:cstheme="majorBidi"/>
        </w:rPr>
        <w:t xml:space="preserve">. Pada variabel X2 </w:t>
      </w:r>
      <w:r>
        <w:rPr>
          <w:rFonts w:asciiTheme="majorBidi" w:hAnsiTheme="majorBidi" w:cstheme="majorBidi"/>
          <w:i/>
          <w:iCs/>
        </w:rPr>
        <w:t xml:space="preserve">Price Book Value </w:t>
      </w:r>
      <w:r>
        <w:rPr>
          <w:rFonts w:asciiTheme="majorBidi" w:hAnsiTheme="majorBidi" w:cstheme="majorBidi"/>
        </w:rPr>
        <w:t xml:space="preserve">(PBV) memiliki nilai signifikan 0.0002, maka H2 diterima karena 0.0002 &lt; 0.05, artinya terdapat pengaruh yang signifikan dari variabel PBV terhadap harga saham Perusahaan yang terdaftar di indeks JII. Variabel X3 </w:t>
      </w:r>
      <w:r>
        <w:rPr>
          <w:rFonts w:asciiTheme="majorBidi" w:hAnsiTheme="majorBidi" w:cstheme="majorBidi"/>
          <w:i/>
          <w:iCs/>
        </w:rPr>
        <w:t xml:space="preserve">Earning </w:t>
      </w:r>
      <w:proofErr w:type="gramStart"/>
      <w:r>
        <w:rPr>
          <w:rFonts w:asciiTheme="majorBidi" w:hAnsiTheme="majorBidi" w:cstheme="majorBidi"/>
          <w:i/>
          <w:iCs/>
        </w:rPr>
        <w:t>Per</w:t>
      </w:r>
      <w:proofErr w:type="gramEnd"/>
      <w:r>
        <w:rPr>
          <w:rFonts w:asciiTheme="majorBidi" w:hAnsiTheme="majorBidi" w:cstheme="majorBidi"/>
          <w:i/>
          <w:iCs/>
        </w:rPr>
        <w:t xml:space="preserve"> Share </w:t>
      </w:r>
      <w:r>
        <w:rPr>
          <w:rFonts w:asciiTheme="majorBidi" w:hAnsiTheme="majorBidi" w:cstheme="majorBidi"/>
        </w:rPr>
        <w:t xml:space="preserve">(EPS) memiliki nilai 0.0000, maka H3 diterima karena 0.0000 &lt; 0.05, artinya terdapat pengaruh yang signifikan dari variabel EPS terhadap harga saham perusahaan yang terdaftar di Indeks JII. Variabel </w:t>
      </w:r>
      <w:r>
        <w:rPr>
          <w:rStyle w:val="tlid-translation"/>
          <w:rFonts w:asciiTheme="majorBidi" w:hAnsiTheme="majorBidi" w:cstheme="majorBidi"/>
          <w:i/>
          <w:iCs/>
        </w:rPr>
        <w:t xml:space="preserve">Debt to Equity Ratio </w:t>
      </w:r>
      <w:r>
        <w:rPr>
          <w:rStyle w:val="tlid-translation"/>
          <w:rFonts w:asciiTheme="majorBidi" w:hAnsiTheme="majorBidi" w:cstheme="majorBidi"/>
        </w:rPr>
        <w:t>(DER) memiliki nilai signifikan sebesar</w:t>
      </w:r>
      <w:r>
        <w:rPr>
          <w:rStyle w:val="tlid-translation"/>
          <w:rFonts w:asciiTheme="majorBidi" w:hAnsiTheme="majorBidi" w:cstheme="majorBidi"/>
        </w:rPr>
        <w:t xml:space="preserve"> </w:t>
      </w:r>
      <w:r>
        <w:rPr>
          <w:rStyle w:val="tlid-translation"/>
          <w:rFonts w:asciiTheme="majorBidi" w:hAnsiTheme="majorBidi" w:cstheme="majorBidi"/>
        </w:rPr>
        <w:t xml:space="preserve">0.8098 maka H4 tidak diterima karena 0.8098 &gt; 0.05, artinya tidak terdapat pengaruh antara variabel X4 </w:t>
      </w:r>
      <w:r>
        <w:rPr>
          <w:rStyle w:val="tlid-translation"/>
          <w:rFonts w:asciiTheme="majorBidi" w:hAnsiTheme="majorBidi" w:cstheme="majorBidi"/>
          <w:i/>
          <w:iCs/>
        </w:rPr>
        <w:t xml:space="preserve">Debt to Equity Ratio </w:t>
      </w:r>
      <w:r>
        <w:rPr>
          <w:rStyle w:val="tlid-translation"/>
          <w:rFonts w:asciiTheme="majorBidi" w:hAnsiTheme="majorBidi" w:cstheme="majorBidi"/>
        </w:rPr>
        <w:t xml:space="preserve">(DER) terhadap Harga Saham Perusahaan yang terdaftar di Indeks JII. Variabel X5 </w:t>
      </w:r>
      <w:r>
        <w:rPr>
          <w:rStyle w:val="tlid-translation"/>
          <w:rFonts w:asciiTheme="majorBidi" w:hAnsiTheme="majorBidi" w:cstheme="majorBidi"/>
          <w:i/>
          <w:iCs/>
        </w:rPr>
        <w:t xml:space="preserve">Price to Equity Ratio </w:t>
      </w:r>
      <w:r>
        <w:rPr>
          <w:rStyle w:val="tlid-translation"/>
          <w:rFonts w:asciiTheme="majorBidi" w:hAnsiTheme="majorBidi" w:cstheme="majorBidi"/>
        </w:rPr>
        <w:t xml:space="preserve">(PER) memiliki nilai signifikan sebesar 0.0001 maka H5 diterima karena 0.0001 &lt; 0.05, artinya terdapat pengaruh yang signifikan antara </w:t>
      </w:r>
      <w:r>
        <w:rPr>
          <w:rStyle w:val="tlid-translation"/>
          <w:rFonts w:asciiTheme="majorBidi" w:hAnsiTheme="majorBidi" w:cstheme="majorBidi"/>
          <w:i/>
          <w:iCs/>
        </w:rPr>
        <w:t xml:space="preserve">Price to Equity Ratio </w:t>
      </w:r>
      <w:r>
        <w:rPr>
          <w:rStyle w:val="tlid-translation"/>
          <w:rFonts w:asciiTheme="majorBidi" w:hAnsiTheme="majorBidi" w:cstheme="majorBidi"/>
        </w:rPr>
        <w:t>(PER) terhadap Harga Saham Perusahaan yang terdaftar di Indeks JII.</w:t>
      </w:r>
    </w:p>
    <w:p w:rsidR="00D02E0A" w:rsidRDefault="00D02E0A" w:rsidP="00D02E0A">
      <w:pPr>
        <w:ind w:left="360"/>
        <w:jc w:val="both"/>
        <w:rPr>
          <w:rStyle w:val="tlid-translation"/>
          <w:rFonts w:asciiTheme="majorBidi" w:hAnsiTheme="majorBidi" w:cstheme="majorBidi"/>
        </w:rPr>
      </w:pPr>
      <w:r>
        <w:rPr>
          <w:rStyle w:val="tlid-translation"/>
          <w:rFonts w:asciiTheme="majorBidi" w:hAnsiTheme="majorBidi" w:cstheme="majorBidi"/>
        </w:rPr>
        <w:t>Tabel 5. Hasil Uji Kelayakan Model</w:t>
      </w:r>
    </w:p>
    <w:tbl>
      <w:tblPr>
        <w:tblStyle w:val="PlainTable2"/>
        <w:tblW w:w="8505" w:type="dxa"/>
        <w:tblLook w:val="04A0" w:firstRow="1" w:lastRow="0" w:firstColumn="1" w:lastColumn="0" w:noHBand="0" w:noVBand="1"/>
      </w:tblPr>
      <w:tblGrid>
        <w:gridCol w:w="1560"/>
        <w:gridCol w:w="1263"/>
        <w:gridCol w:w="644"/>
        <w:gridCol w:w="1488"/>
        <w:gridCol w:w="1376"/>
        <w:gridCol w:w="1264"/>
        <w:gridCol w:w="910"/>
      </w:tblGrid>
      <w:tr w:rsidR="00D02E0A" w:rsidTr="00D02E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7F7F7F" w:themeColor="text1" w:themeTint="80"/>
              <w:left w:val="nil"/>
              <w:right w:val="nil"/>
            </w:tcBorders>
            <w:hideMark/>
          </w:tcPr>
          <w:p w:rsidR="00D02E0A" w:rsidRDefault="00D02E0A">
            <w:pPr>
              <w:jc w:val="both"/>
              <w:rPr>
                <w:rStyle w:val="tlid-translation"/>
                <w:rFonts w:asciiTheme="majorBidi" w:hAnsiTheme="majorBidi" w:cstheme="majorBidi"/>
              </w:rPr>
            </w:pPr>
            <w:r>
              <w:rPr>
                <w:rStyle w:val="tlid-translation"/>
                <w:rFonts w:asciiTheme="majorBidi" w:hAnsiTheme="majorBidi" w:cstheme="majorBidi"/>
              </w:rPr>
              <w:t>Model</w:t>
            </w:r>
          </w:p>
        </w:tc>
        <w:tc>
          <w:tcPr>
            <w:tcW w:w="1263"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Sum of Squares</w:t>
            </w:r>
          </w:p>
        </w:tc>
        <w:tc>
          <w:tcPr>
            <w:tcW w:w="644"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Df</w:t>
            </w:r>
          </w:p>
        </w:tc>
        <w:tc>
          <w:tcPr>
            <w:tcW w:w="1488"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R-squared</w:t>
            </w:r>
          </w:p>
        </w:tc>
        <w:tc>
          <w:tcPr>
            <w:tcW w:w="1376"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Adjusted R-Squared</w:t>
            </w:r>
          </w:p>
        </w:tc>
        <w:tc>
          <w:tcPr>
            <w:tcW w:w="1264"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F</w:t>
            </w:r>
          </w:p>
        </w:tc>
        <w:tc>
          <w:tcPr>
            <w:tcW w:w="910" w:type="dxa"/>
            <w:tcBorders>
              <w:top w:val="single" w:sz="4" w:space="0" w:color="7F7F7F" w:themeColor="text1" w:themeTint="80"/>
              <w:left w:val="nil"/>
              <w:right w:val="nil"/>
            </w:tcBorders>
            <w:hideMark/>
          </w:tcPr>
          <w:p w:rsidR="00D02E0A" w:rsidRDefault="00D02E0A">
            <w:pPr>
              <w:jc w:val="both"/>
              <w:cnfStyle w:val="100000000000" w:firstRow="1" w:lastRow="0" w:firstColumn="0" w:lastColumn="0" w:oddVBand="0" w:evenVBand="0" w:oddHBand="0"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Prob</w:t>
            </w:r>
          </w:p>
        </w:tc>
      </w:tr>
      <w:tr w:rsidR="00D02E0A" w:rsidTr="00D02E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Borders>
              <w:left w:val="nil"/>
              <w:right w:val="nil"/>
            </w:tcBorders>
            <w:hideMark/>
          </w:tcPr>
          <w:p w:rsidR="00D02E0A" w:rsidRDefault="00D02E0A">
            <w:pPr>
              <w:jc w:val="both"/>
              <w:rPr>
                <w:rStyle w:val="tlid-translation"/>
                <w:rFonts w:asciiTheme="majorBidi" w:hAnsiTheme="majorBidi" w:cstheme="majorBidi"/>
              </w:rPr>
            </w:pPr>
            <w:r>
              <w:rPr>
                <w:rStyle w:val="tlid-translation"/>
                <w:rFonts w:asciiTheme="majorBidi" w:hAnsiTheme="majorBidi" w:cstheme="majorBidi"/>
              </w:rPr>
              <w:t>1 Regression</w:t>
            </w:r>
          </w:p>
          <w:p w:rsidR="00D02E0A" w:rsidRDefault="00D02E0A">
            <w:pPr>
              <w:jc w:val="both"/>
              <w:rPr>
                <w:rStyle w:val="tlid-translation"/>
                <w:rFonts w:asciiTheme="majorBidi" w:hAnsiTheme="majorBidi" w:cstheme="majorBidi"/>
              </w:rPr>
            </w:pPr>
            <w:r>
              <w:rPr>
                <w:rStyle w:val="tlid-translation"/>
                <w:rFonts w:asciiTheme="majorBidi" w:hAnsiTheme="majorBidi" w:cstheme="majorBidi"/>
              </w:rPr>
              <w:t>Residual</w:t>
            </w:r>
          </w:p>
          <w:p w:rsidR="00D02E0A" w:rsidRDefault="00D02E0A">
            <w:pPr>
              <w:jc w:val="both"/>
              <w:rPr>
                <w:rStyle w:val="tlid-translation"/>
                <w:rFonts w:asciiTheme="majorBidi" w:hAnsiTheme="majorBidi" w:cstheme="majorBidi"/>
              </w:rPr>
            </w:pPr>
            <w:r>
              <w:rPr>
                <w:rStyle w:val="tlid-translation"/>
                <w:rFonts w:asciiTheme="majorBidi" w:hAnsiTheme="majorBidi" w:cstheme="majorBidi"/>
              </w:rPr>
              <w:t>Total</w:t>
            </w:r>
          </w:p>
        </w:tc>
        <w:tc>
          <w:tcPr>
            <w:tcW w:w="1263"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55.51324</w:t>
            </w:r>
          </w:p>
        </w:tc>
        <w:tc>
          <w:tcPr>
            <w:tcW w:w="644"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5</w:t>
            </w:r>
          </w:p>
          <w:p w:rsidR="00D02E0A" w:rsidRDefault="00D02E0A">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86</w:t>
            </w:r>
          </w:p>
          <w:p w:rsidR="00D02E0A" w:rsidRDefault="00D02E0A">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90</w:t>
            </w:r>
          </w:p>
        </w:tc>
        <w:tc>
          <w:tcPr>
            <w:tcW w:w="1488"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0.728251</w:t>
            </w:r>
          </w:p>
        </w:tc>
        <w:tc>
          <w:tcPr>
            <w:tcW w:w="1376"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0.712075</w:t>
            </w:r>
          </w:p>
        </w:tc>
        <w:tc>
          <w:tcPr>
            <w:tcW w:w="1264"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45.02166</w:t>
            </w:r>
          </w:p>
        </w:tc>
        <w:tc>
          <w:tcPr>
            <w:tcW w:w="910" w:type="dxa"/>
            <w:tcBorders>
              <w:left w:val="nil"/>
              <w:right w:val="nil"/>
            </w:tcBorders>
            <w:hideMark/>
          </w:tcPr>
          <w:p w:rsidR="00D02E0A" w:rsidRDefault="00D02E0A">
            <w:pPr>
              <w:jc w:val="both"/>
              <w:cnfStyle w:val="000000100000" w:firstRow="0" w:lastRow="0" w:firstColumn="0" w:lastColumn="0" w:oddVBand="0" w:evenVBand="0" w:oddHBand="1" w:evenHBand="0" w:firstRowFirstColumn="0" w:firstRowLastColumn="0" w:lastRowFirstColumn="0" w:lastRowLastColumn="0"/>
              <w:rPr>
                <w:rStyle w:val="tlid-translation"/>
                <w:rFonts w:asciiTheme="majorBidi" w:hAnsiTheme="majorBidi" w:cstheme="majorBidi"/>
              </w:rPr>
            </w:pPr>
            <w:r>
              <w:rPr>
                <w:rStyle w:val="tlid-translation"/>
                <w:rFonts w:asciiTheme="majorBidi" w:hAnsiTheme="majorBidi" w:cstheme="majorBidi"/>
              </w:rPr>
              <w:t>0.0000</w:t>
            </w:r>
          </w:p>
        </w:tc>
      </w:tr>
    </w:tbl>
    <w:p w:rsidR="00D02E0A" w:rsidRDefault="00D02E0A" w:rsidP="00D02E0A">
      <w:pPr>
        <w:ind w:left="360"/>
        <w:jc w:val="both"/>
        <w:rPr>
          <w:rStyle w:val="tlid-translation"/>
          <w:rFonts w:asciiTheme="majorBidi" w:hAnsiTheme="majorBidi" w:cstheme="majorBidi"/>
          <w:sz w:val="22"/>
          <w:szCs w:val="22"/>
        </w:rPr>
      </w:pPr>
      <w:r>
        <w:rPr>
          <w:rStyle w:val="tlid-translation"/>
          <w:rFonts w:asciiTheme="majorBidi" w:hAnsiTheme="majorBidi" w:cstheme="majorBidi"/>
        </w:rPr>
        <w:t>Su</w:t>
      </w:r>
      <w:r>
        <w:rPr>
          <w:rStyle w:val="tlid-translation"/>
          <w:rFonts w:asciiTheme="majorBidi" w:hAnsiTheme="majorBidi" w:cstheme="majorBidi"/>
        </w:rPr>
        <w:t>mber: Eviews 9 diolah</w:t>
      </w:r>
    </w:p>
    <w:p w:rsidR="00D02E0A" w:rsidRDefault="00D02E0A" w:rsidP="00D02E0A">
      <w:pPr>
        <w:ind w:firstLine="426"/>
        <w:jc w:val="both"/>
        <w:rPr>
          <w:rStyle w:val="tlid-translation"/>
          <w:rFonts w:asciiTheme="majorBidi" w:hAnsiTheme="majorBidi" w:cstheme="majorBidi"/>
        </w:rPr>
      </w:pPr>
      <w:r>
        <w:rPr>
          <w:rStyle w:val="tlid-translation"/>
          <w:rFonts w:asciiTheme="majorBidi" w:hAnsiTheme="majorBidi" w:cstheme="majorBidi"/>
        </w:rPr>
        <w:t>Dari table 5 didapatkan</w:t>
      </w:r>
      <w:r w:rsidR="00305883">
        <w:rPr>
          <w:rStyle w:val="tlid-translation"/>
          <w:rFonts w:asciiTheme="majorBidi" w:hAnsiTheme="majorBidi" w:cstheme="majorBidi"/>
        </w:rPr>
        <w:t xml:space="preserve"> </w:t>
      </w:r>
      <w:r>
        <w:rPr>
          <w:rStyle w:val="tlid-translation"/>
          <w:rFonts w:asciiTheme="majorBidi" w:hAnsiTheme="majorBidi" w:cstheme="majorBidi"/>
        </w:rPr>
        <w:t>hasil uji F atau uji secara simultan, nilai F sebesar 45.02166 dengan tingkat signifikan sebesar 0.0000, maka Analisis Fundamental secara simultan berpengaruh positif terhadap Harga Saham Perusahaan yang terdaftar di Indeks JII, karena 0.0000 &lt; 0.05.</w:t>
      </w:r>
    </w:p>
    <w:p w:rsidR="00D02E0A" w:rsidRDefault="00D02E0A" w:rsidP="00D02E0A">
      <w:pPr>
        <w:ind w:firstLine="426"/>
        <w:jc w:val="both"/>
        <w:rPr>
          <w:rStyle w:val="tlid-translation"/>
          <w:rFonts w:asciiTheme="majorBidi" w:hAnsiTheme="majorBidi" w:cstheme="majorBidi"/>
        </w:rPr>
      </w:pPr>
      <w:r>
        <w:rPr>
          <w:rStyle w:val="tlid-translation"/>
          <w:rFonts w:asciiTheme="majorBidi" w:hAnsiTheme="majorBidi" w:cstheme="majorBidi"/>
        </w:rPr>
        <w:t xml:space="preserve">Dari table 5 juga didapatkan </w:t>
      </w:r>
      <w:r>
        <w:rPr>
          <w:rStyle w:val="tlid-translation"/>
          <w:rFonts w:asciiTheme="majorBidi" w:hAnsiTheme="majorBidi" w:cstheme="majorBidi"/>
          <w:i/>
          <w:iCs/>
        </w:rPr>
        <w:t xml:space="preserve">R Squared </w:t>
      </w:r>
      <w:r>
        <w:rPr>
          <w:rStyle w:val="tlid-translation"/>
          <w:rFonts w:asciiTheme="majorBidi" w:hAnsiTheme="majorBidi" w:cstheme="majorBidi"/>
        </w:rPr>
        <w:t xml:space="preserve"> atau Koefisien Determinasi adalah sebesar 0.728251 sama besarnya dengan 72.8251% yang berarti analisis fi=undamental dengan variabel BV, PBV, EPS, DER dan PER berpengaruh positif terhadap harga saham sebesar 72,8251%. Sedangkan sisanya 27.1749% dipengaruhi oleh variabel lain yang tidak diteliti dalam penelitian ini.</w:t>
      </w:r>
    </w:p>
    <w:p w:rsidR="00D02E0A" w:rsidRPr="00D02E0A" w:rsidRDefault="00D02E0A" w:rsidP="00D02E0A">
      <w:pPr>
        <w:ind w:firstLine="426"/>
        <w:jc w:val="both"/>
        <w:rPr>
          <w:rFonts w:asciiTheme="majorBidi" w:hAnsiTheme="majorBidi" w:cstheme="majorBidi"/>
        </w:rPr>
      </w:pPr>
      <w:r>
        <w:rPr>
          <w:rFonts w:asciiTheme="majorBidi" w:hAnsiTheme="majorBidi" w:cstheme="majorBidi"/>
        </w:rPr>
        <w:t xml:space="preserve">Dari hasi penelitian ini, analisis fundamental yang digunakan untuk memprediksi resiko investasi sangatlah mungkin digunakan sebelum melakukan investasi pada pasar saham syariah terutama pada indeks saham JII. Semua investasi mengandung resiko atau ketidakpastian, untuk mengurangi dari resiko maka seorang investor dapat melakukan analisis Fundamental pada saham yang </w:t>
      </w:r>
      <w:proofErr w:type="gramStart"/>
      <w:r>
        <w:rPr>
          <w:rFonts w:asciiTheme="majorBidi" w:hAnsiTheme="majorBidi" w:cstheme="majorBidi"/>
        </w:rPr>
        <w:t>akan</w:t>
      </w:r>
      <w:proofErr w:type="gramEnd"/>
      <w:r>
        <w:rPr>
          <w:rFonts w:asciiTheme="majorBidi" w:hAnsiTheme="majorBidi" w:cstheme="majorBidi"/>
        </w:rPr>
        <w:t xml:space="preserve"> dibeli atau dimiliki oleh investor untuk mengurang resiko yang akan terjadi.</w:t>
      </w:r>
    </w:p>
    <w:p w:rsidR="00D02E0A" w:rsidRPr="00D02E0A" w:rsidRDefault="00D02E0A" w:rsidP="00D02E0A"/>
    <w:p w:rsidR="00917D2F" w:rsidRDefault="004B7814" w:rsidP="00917D2F">
      <w:pPr>
        <w:pStyle w:val="Heading1"/>
        <w:numPr>
          <w:ilvl w:val="0"/>
          <w:numId w:val="6"/>
        </w:numPr>
        <w:suppressAutoHyphens/>
        <w:spacing w:after="60"/>
        <w:ind w:left="360"/>
        <w:rPr>
          <w:i w:val="0"/>
          <w:sz w:val="22"/>
          <w:szCs w:val="22"/>
        </w:rPr>
      </w:pPr>
      <w:r w:rsidRPr="001C0C46">
        <w:rPr>
          <w:i w:val="0"/>
          <w:sz w:val="22"/>
          <w:szCs w:val="22"/>
          <w:lang w:val="id-ID"/>
        </w:rPr>
        <w:t>KE</w:t>
      </w:r>
      <w:r w:rsidR="00D73172" w:rsidRPr="001C0C46">
        <w:rPr>
          <w:i w:val="0"/>
          <w:sz w:val="22"/>
          <w:szCs w:val="22"/>
        </w:rPr>
        <w:t>SIMPULAN</w:t>
      </w:r>
      <w:r w:rsidR="00917D2F">
        <w:rPr>
          <w:i w:val="0"/>
          <w:sz w:val="22"/>
          <w:szCs w:val="22"/>
        </w:rPr>
        <w:t xml:space="preserve"> DAN SARAN</w:t>
      </w:r>
    </w:p>
    <w:p w:rsidR="00917D2F" w:rsidRPr="00917D2F" w:rsidRDefault="00917D2F" w:rsidP="00917D2F">
      <w:r>
        <w:t>4.1 Kesimpulan</w:t>
      </w:r>
    </w:p>
    <w:p w:rsidR="00D02E0A" w:rsidRDefault="00D02E0A" w:rsidP="00305883">
      <w:pPr>
        <w:ind w:firstLine="426"/>
        <w:jc w:val="both"/>
        <w:rPr>
          <w:rStyle w:val="tlid-translation"/>
          <w:rFonts w:asciiTheme="majorBidi" w:hAnsiTheme="majorBidi" w:cstheme="majorBidi"/>
        </w:rPr>
      </w:pPr>
      <w:r>
        <w:rPr>
          <w:sz w:val="22"/>
          <w:szCs w:val="22"/>
        </w:rPr>
        <w:t>Dari paparan pembahasan tersebut dapat disimpulkan bahwa analisis fundamental memiliki pengaruh yang signifikan terhadap harga saham perusahaan, hal ini dibuktikan dengan uji F yang mana F hitung &gt; F table dengan tingkat signifikan 0.0000</w:t>
      </w:r>
      <w:r w:rsidR="00917D2F">
        <w:rPr>
          <w:sz w:val="22"/>
          <w:szCs w:val="22"/>
        </w:rPr>
        <w:t xml:space="preserve"> &lt; 0.05. sedangkan berdasarkan hasil uji parsial yang dilakukan setiap masing-masing variabel didapatkan bahwa variabel X1 tidak berpengaruh terhadap variabel Y, variabel X2 berpengaruh positif terhadap Variabel Y dengan tingkat signifikan 0.0002 &lt; 0.05, Variabel X3 berpengaruh positif dan signifikan terhadap variabel Y dengan tingkat signifikan 0.0000 &lt; 0.05, variabel X4 tidak berpengaruh terhadap variabel Y dan variabel X5 berpengaruh signifikan terhadap variabel Y dengan tingkat signifikan 0.0001 &gt; 0.05. Dari hasil </w:t>
      </w:r>
      <w:r w:rsidR="00917D2F">
        <w:rPr>
          <w:i/>
          <w:iCs/>
          <w:sz w:val="22"/>
          <w:szCs w:val="22"/>
        </w:rPr>
        <w:t xml:space="preserve">R Square </w:t>
      </w:r>
      <w:r w:rsidR="00917D2F">
        <w:rPr>
          <w:rStyle w:val="tlid-translation"/>
          <w:rFonts w:asciiTheme="majorBidi" w:hAnsiTheme="majorBidi" w:cstheme="majorBidi"/>
        </w:rPr>
        <w:t>atau Koefisien Determinasi adalah sebesar 0.728251 sama besarnya dengan 72</w:t>
      </w:r>
      <w:r w:rsidR="00917D2F">
        <w:rPr>
          <w:rStyle w:val="tlid-translation"/>
          <w:rFonts w:asciiTheme="majorBidi" w:hAnsiTheme="majorBidi" w:cstheme="majorBidi"/>
        </w:rPr>
        <w:t>.8251% yang berarti analisis f</w:t>
      </w:r>
      <w:r w:rsidR="00917D2F">
        <w:rPr>
          <w:rStyle w:val="tlid-translation"/>
          <w:rFonts w:asciiTheme="majorBidi" w:hAnsiTheme="majorBidi" w:cstheme="majorBidi"/>
        </w:rPr>
        <w:t>undamental dengan variabel BV, PBV, EPS, DER dan PER berpengaruh positif terhadap harga saham sebesar 72,8251%. Sedangkan sisanya 27.1749% dipengaruhi oleh variabel lain yang tidak diteliti dalam penelitian ini.</w:t>
      </w:r>
    </w:p>
    <w:p w:rsidR="00305883" w:rsidRPr="00305883" w:rsidRDefault="00305883" w:rsidP="00305883">
      <w:pPr>
        <w:ind w:firstLine="426"/>
        <w:jc w:val="both"/>
        <w:rPr>
          <w:rFonts w:asciiTheme="majorBidi" w:hAnsiTheme="majorBidi" w:cstheme="majorBidi"/>
        </w:rPr>
      </w:pPr>
    </w:p>
    <w:p w:rsidR="00917D2F" w:rsidRDefault="00917D2F" w:rsidP="00917D2F">
      <w:pPr>
        <w:spacing w:after="240"/>
        <w:jc w:val="both"/>
        <w:rPr>
          <w:sz w:val="22"/>
          <w:szCs w:val="22"/>
        </w:rPr>
      </w:pPr>
      <w:r>
        <w:rPr>
          <w:sz w:val="22"/>
          <w:szCs w:val="22"/>
        </w:rPr>
        <w:t>4.2 Saran</w:t>
      </w:r>
    </w:p>
    <w:p w:rsidR="00917D2F" w:rsidRPr="00917D2F" w:rsidRDefault="00917D2F" w:rsidP="00917D2F">
      <w:pPr>
        <w:pStyle w:val="ListParagraph"/>
        <w:numPr>
          <w:ilvl w:val="0"/>
          <w:numId w:val="12"/>
        </w:numPr>
        <w:spacing w:after="240"/>
        <w:jc w:val="both"/>
        <w:rPr>
          <w:sz w:val="22"/>
          <w:szCs w:val="22"/>
        </w:rPr>
      </w:pPr>
      <w:r>
        <w:rPr>
          <w:sz w:val="22"/>
          <w:szCs w:val="22"/>
        </w:rPr>
        <w:t>B</w:t>
      </w:r>
      <w:r w:rsidRPr="00917D2F">
        <w:rPr>
          <w:sz w:val="22"/>
          <w:szCs w:val="22"/>
        </w:rPr>
        <w:t>agi investor yang ingin melakukan investasi jangka panjang saham pada perusahaan yang terdaftar di JII sebaiknya perlu melakukan analisis fundamental dengan memperhatkan variabel-variabel BV, PBV, EPS, DER dan PER</w:t>
      </w:r>
    </w:p>
    <w:p w:rsidR="00917D2F" w:rsidRPr="00917D2F" w:rsidRDefault="00917D2F" w:rsidP="00917D2F">
      <w:pPr>
        <w:pStyle w:val="ListParagraph"/>
        <w:numPr>
          <w:ilvl w:val="0"/>
          <w:numId w:val="12"/>
        </w:numPr>
        <w:spacing w:after="240"/>
        <w:jc w:val="both"/>
        <w:rPr>
          <w:sz w:val="22"/>
          <w:szCs w:val="22"/>
        </w:rPr>
      </w:pPr>
      <w:r>
        <w:rPr>
          <w:sz w:val="22"/>
          <w:szCs w:val="22"/>
        </w:rPr>
        <w:t>U</w:t>
      </w:r>
      <w:r w:rsidRPr="00917D2F">
        <w:rPr>
          <w:sz w:val="22"/>
          <w:szCs w:val="22"/>
        </w:rPr>
        <w:t>ntuk penelitian selanjutnya, hendaknya memperbanyak populasi penelitian dan memperpanjang periode penelitian agar mencerminkan data yang akurat.</w:t>
      </w:r>
    </w:p>
    <w:p w:rsidR="00917D2F" w:rsidRPr="00917D2F" w:rsidRDefault="00917D2F" w:rsidP="00917D2F">
      <w:pPr>
        <w:pStyle w:val="ListParagraph"/>
        <w:numPr>
          <w:ilvl w:val="0"/>
          <w:numId w:val="12"/>
        </w:numPr>
        <w:spacing w:after="240"/>
        <w:jc w:val="both"/>
        <w:rPr>
          <w:sz w:val="22"/>
          <w:szCs w:val="22"/>
        </w:rPr>
      </w:pPr>
      <w:r>
        <w:rPr>
          <w:sz w:val="22"/>
          <w:szCs w:val="22"/>
        </w:rPr>
        <w:t>U</w:t>
      </w:r>
      <w:r w:rsidRPr="00917D2F">
        <w:rPr>
          <w:sz w:val="22"/>
          <w:szCs w:val="22"/>
        </w:rPr>
        <w:t>ntuk emiten hendaknya memperhatikan semua variabel fundamental agar perusahaan menjadi lebih baik.</w:t>
      </w:r>
    </w:p>
    <w:p w:rsidR="00F22146" w:rsidRDefault="00F22146" w:rsidP="004B7814">
      <w:pPr>
        <w:pStyle w:val="Heading1"/>
        <w:numPr>
          <w:ilvl w:val="0"/>
          <w:numId w:val="6"/>
        </w:numPr>
        <w:suppressAutoHyphens/>
        <w:spacing w:after="60"/>
        <w:ind w:left="360"/>
        <w:rPr>
          <w:i w:val="0"/>
          <w:sz w:val="22"/>
          <w:szCs w:val="22"/>
          <w:lang w:val="id-ID"/>
        </w:rPr>
      </w:pPr>
      <w:r w:rsidRPr="004B7814">
        <w:rPr>
          <w:i w:val="0"/>
          <w:sz w:val="22"/>
          <w:szCs w:val="22"/>
        </w:rPr>
        <w:t>UCAPAN</w:t>
      </w:r>
      <w:r>
        <w:rPr>
          <w:i w:val="0"/>
          <w:sz w:val="22"/>
          <w:szCs w:val="22"/>
          <w:lang w:val="id-ID"/>
        </w:rPr>
        <w:t xml:space="preserve"> TERIMA KASIH</w:t>
      </w:r>
    </w:p>
    <w:p w:rsidR="00917D2F" w:rsidRDefault="00917D2F" w:rsidP="00305883">
      <w:pPr>
        <w:ind w:firstLine="426"/>
      </w:pPr>
      <w:r w:rsidRPr="00917D2F">
        <w:t>Terima Kasih kepada yang telah mensupport atas selesainya tulisan ini</w:t>
      </w:r>
    </w:p>
    <w:p w:rsidR="00305883" w:rsidRPr="00917D2F" w:rsidRDefault="00305883" w:rsidP="00305883">
      <w:pPr>
        <w:ind w:firstLine="426"/>
      </w:pPr>
    </w:p>
    <w:p w:rsidR="00305883" w:rsidRDefault="00D73172" w:rsidP="00305883">
      <w:pPr>
        <w:pStyle w:val="Heading1"/>
        <w:numPr>
          <w:ilvl w:val="0"/>
          <w:numId w:val="6"/>
        </w:numPr>
        <w:suppressAutoHyphens/>
        <w:spacing w:after="60"/>
        <w:ind w:left="360"/>
        <w:rPr>
          <w:i w:val="0"/>
          <w:sz w:val="22"/>
          <w:szCs w:val="22"/>
        </w:rPr>
      </w:pPr>
      <w:r w:rsidRPr="004B7814">
        <w:rPr>
          <w:i w:val="0"/>
          <w:sz w:val="22"/>
          <w:szCs w:val="22"/>
          <w:lang w:val="id-ID"/>
        </w:rPr>
        <w:t>REFERENSI</w:t>
      </w:r>
    </w:p>
    <w:p w:rsidR="00305883" w:rsidRPr="00305883" w:rsidRDefault="00305883" w:rsidP="00305883">
      <w:pPr>
        <w:widowControl w:val="0"/>
        <w:autoSpaceDE w:val="0"/>
        <w:autoSpaceDN w:val="0"/>
        <w:adjustRightInd w:val="0"/>
        <w:ind w:left="480" w:hanging="480"/>
        <w:jc w:val="lowKashida"/>
        <w:rPr>
          <w:noProof/>
          <w:szCs w:val="24"/>
        </w:rPr>
      </w:pPr>
      <w:r>
        <w:fldChar w:fldCharType="begin" w:fldLock="1"/>
      </w:r>
      <w:r>
        <w:instrText xml:space="preserve">ADDIN Mendeley Bibliography CSL_BIBLIOGRAPHY </w:instrText>
      </w:r>
      <w:r>
        <w:fldChar w:fldCharType="separate"/>
      </w:r>
      <w:r w:rsidRPr="00305883">
        <w:rPr>
          <w:noProof/>
          <w:szCs w:val="24"/>
        </w:rPr>
        <w:t xml:space="preserve">Ahmad, A. C., &amp; Ishak, Z. (2016). Akademia Baru Price to Book Value , Price to Sales Multiples and Stock Price ; Evidence from Nigerian Listed Firms. </w:t>
      </w:r>
      <w:r w:rsidRPr="00305883">
        <w:rPr>
          <w:i/>
          <w:iCs/>
          <w:noProof/>
          <w:szCs w:val="24"/>
        </w:rPr>
        <w:t>Journal of Advanced Research in Business and Management Studies</w:t>
      </w:r>
      <w:r w:rsidRPr="00305883">
        <w:rPr>
          <w:noProof/>
          <w:szCs w:val="24"/>
        </w:rPr>
        <w:t xml:space="preserve">, </w:t>
      </w:r>
      <w:r w:rsidRPr="00305883">
        <w:rPr>
          <w:i/>
          <w:iCs/>
          <w:noProof/>
          <w:szCs w:val="24"/>
        </w:rPr>
        <w:t>3</w:t>
      </w:r>
      <w:r w:rsidRPr="00305883">
        <w:rPr>
          <w:noProof/>
          <w:szCs w:val="24"/>
        </w:rPr>
        <w:t>(1), 85–93.</w:t>
      </w:r>
    </w:p>
    <w:p w:rsidR="00305883" w:rsidRPr="00305883" w:rsidRDefault="00305883" w:rsidP="00305883">
      <w:pPr>
        <w:widowControl w:val="0"/>
        <w:autoSpaceDE w:val="0"/>
        <w:autoSpaceDN w:val="0"/>
        <w:adjustRightInd w:val="0"/>
        <w:ind w:left="480" w:hanging="480"/>
        <w:jc w:val="lowKashida"/>
        <w:rPr>
          <w:noProof/>
          <w:szCs w:val="24"/>
        </w:rPr>
      </w:pPr>
      <w:r w:rsidRPr="00305883">
        <w:rPr>
          <w:noProof/>
          <w:szCs w:val="24"/>
        </w:rPr>
        <w:t xml:space="preserve">Andri Soemitra. (2012). </w:t>
      </w:r>
      <w:r w:rsidRPr="00305883">
        <w:rPr>
          <w:i/>
          <w:iCs/>
          <w:noProof/>
          <w:szCs w:val="24"/>
        </w:rPr>
        <w:t>Bank dan Lembaga Keuangan Syariah</w:t>
      </w:r>
      <w:r w:rsidRPr="00305883">
        <w:rPr>
          <w:noProof/>
          <w:szCs w:val="24"/>
        </w:rPr>
        <w:t>. Jakarta: Kencana.</w:t>
      </w:r>
    </w:p>
    <w:p w:rsidR="00305883" w:rsidRPr="00305883" w:rsidRDefault="00305883" w:rsidP="00305883">
      <w:pPr>
        <w:widowControl w:val="0"/>
        <w:autoSpaceDE w:val="0"/>
        <w:autoSpaceDN w:val="0"/>
        <w:adjustRightInd w:val="0"/>
        <w:ind w:left="480" w:hanging="480"/>
        <w:jc w:val="lowKashida"/>
        <w:rPr>
          <w:noProof/>
          <w:szCs w:val="24"/>
        </w:rPr>
      </w:pPr>
      <w:r w:rsidRPr="00305883">
        <w:rPr>
          <w:noProof/>
          <w:szCs w:val="24"/>
        </w:rPr>
        <w:t xml:space="preserve">Atika Amor. (2016). </w:t>
      </w:r>
      <w:r w:rsidRPr="00305883">
        <w:rPr>
          <w:i/>
          <w:iCs/>
          <w:noProof/>
          <w:szCs w:val="24"/>
        </w:rPr>
        <w:t>PENGARUH EARNING PER SHARE DAN BOOK VALUE TERHADAP HARGA SAHAM SEBELUM DAN SESUDAH ADOPSI IFRS: STUDI EMPIRIS PADA PERUSAHAAN MANUFAKTUR YANG TERDAFTAR DI BURSA EFEK INDONESIA PADA TAHUN 2008-2015</w:t>
      </w:r>
      <w:r w:rsidRPr="00305883">
        <w:rPr>
          <w:noProof/>
          <w:szCs w:val="24"/>
        </w:rPr>
        <w:t>. Universitas Andalas.</w:t>
      </w:r>
    </w:p>
    <w:p w:rsidR="00305883" w:rsidRPr="00305883" w:rsidRDefault="00305883" w:rsidP="00305883">
      <w:pPr>
        <w:widowControl w:val="0"/>
        <w:autoSpaceDE w:val="0"/>
        <w:autoSpaceDN w:val="0"/>
        <w:adjustRightInd w:val="0"/>
        <w:ind w:left="480" w:hanging="480"/>
        <w:jc w:val="lowKashida"/>
        <w:rPr>
          <w:noProof/>
          <w:szCs w:val="24"/>
        </w:rPr>
      </w:pPr>
      <w:r w:rsidRPr="00305883">
        <w:rPr>
          <w:noProof/>
          <w:szCs w:val="24"/>
        </w:rPr>
        <w:t xml:space="preserve">Drakopoulou, V. (2016). A Review of Fundamental and Technical Stock Analysis Techniques Journal of Stock &amp; Forex Trading A Review of Fundamental and Technical Stock Analysis Techniques. </w:t>
      </w:r>
      <w:r w:rsidRPr="00305883">
        <w:rPr>
          <w:i/>
          <w:iCs/>
          <w:noProof/>
          <w:szCs w:val="24"/>
        </w:rPr>
        <w:t>Journal of Stock &amp; Forex Trading</w:t>
      </w:r>
      <w:r w:rsidRPr="00305883">
        <w:rPr>
          <w:noProof/>
          <w:szCs w:val="24"/>
        </w:rPr>
        <w:t xml:space="preserve">, </w:t>
      </w:r>
      <w:r w:rsidRPr="00305883">
        <w:rPr>
          <w:i/>
          <w:iCs/>
          <w:noProof/>
          <w:szCs w:val="24"/>
        </w:rPr>
        <w:t>5</w:t>
      </w:r>
      <w:r w:rsidRPr="00305883">
        <w:rPr>
          <w:noProof/>
          <w:szCs w:val="24"/>
        </w:rPr>
        <w:t>(1), 2–8. https://doi.org/10.4172/2168-9458.1000163</w:t>
      </w:r>
    </w:p>
    <w:p w:rsidR="00305883" w:rsidRPr="00305883" w:rsidRDefault="00305883" w:rsidP="00305883">
      <w:pPr>
        <w:widowControl w:val="0"/>
        <w:autoSpaceDE w:val="0"/>
        <w:autoSpaceDN w:val="0"/>
        <w:adjustRightInd w:val="0"/>
        <w:ind w:left="480" w:hanging="480"/>
        <w:jc w:val="lowKashida"/>
        <w:rPr>
          <w:noProof/>
          <w:szCs w:val="24"/>
        </w:rPr>
      </w:pPr>
      <w:r w:rsidRPr="00305883">
        <w:rPr>
          <w:noProof/>
          <w:szCs w:val="24"/>
        </w:rPr>
        <w:t xml:space="preserve">Eduardus Tandelilin. (2010). </w:t>
      </w:r>
      <w:r w:rsidRPr="00305883">
        <w:rPr>
          <w:i/>
          <w:iCs/>
          <w:noProof/>
          <w:szCs w:val="24"/>
        </w:rPr>
        <w:t>No Portofolio dan Investasi Teori dan Aplikasi</w:t>
      </w:r>
      <w:r w:rsidRPr="00305883">
        <w:rPr>
          <w:noProof/>
          <w:szCs w:val="24"/>
        </w:rPr>
        <w:t xml:space="preserve"> (Edisi Pert). Yogyakarta: Kanisius.</w:t>
      </w:r>
    </w:p>
    <w:p w:rsidR="00305883" w:rsidRPr="00305883" w:rsidRDefault="00305883" w:rsidP="00305883">
      <w:pPr>
        <w:widowControl w:val="0"/>
        <w:autoSpaceDE w:val="0"/>
        <w:autoSpaceDN w:val="0"/>
        <w:adjustRightInd w:val="0"/>
        <w:ind w:left="480" w:hanging="480"/>
        <w:jc w:val="lowKashida"/>
        <w:rPr>
          <w:noProof/>
          <w:szCs w:val="24"/>
        </w:rPr>
      </w:pPr>
      <w:r w:rsidRPr="00305883">
        <w:rPr>
          <w:noProof/>
          <w:szCs w:val="24"/>
        </w:rPr>
        <w:t xml:space="preserve">Jogiyanto. (2003). </w:t>
      </w:r>
      <w:r w:rsidRPr="00305883">
        <w:rPr>
          <w:i/>
          <w:iCs/>
          <w:noProof/>
          <w:szCs w:val="24"/>
        </w:rPr>
        <w:t>Teori Portofolio dan Analisis Investasi</w:t>
      </w:r>
      <w:r w:rsidRPr="00305883">
        <w:rPr>
          <w:noProof/>
          <w:szCs w:val="24"/>
        </w:rPr>
        <w:t>. Yogyakarta: BPFE.</w:t>
      </w:r>
    </w:p>
    <w:p w:rsidR="00305883" w:rsidRPr="00305883" w:rsidRDefault="00305883" w:rsidP="00305883">
      <w:pPr>
        <w:widowControl w:val="0"/>
        <w:autoSpaceDE w:val="0"/>
        <w:autoSpaceDN w:val="0"/>
        <w:adjustRightInd w:val="0"/>
        <w:ind w:left="480" w:hanging="480"/>
        <w:jc w:val="lowKashida"/>
        <w:rPr>
          <w:noProof/>
          <w:szCs w:val="24"/>
        </w:rPr>
      </w:pPr>
      <w:r w:rsidRPr="00305883">
        <w:rPr>
          <w:noProof/>
          <w:szCs w:val="24"/>
        </w:rPr>
        <w:t xml:space="preserve">Malhotra, N., &amp; Tandon, K. (2013). Determinants of Stock Prices: Empirical Evidence from NSE 100 Companies. </w:t>
      </w:r>
      <w:r w:rsidRPr="00305883">
        <w:rPr>
          <w:i/>
          <w:iCs/>
          <w:noProof/>
          <w:szCs w:val="24"/>
        </w:rPr>
        <w:t>IRACST- International Journal of Research in Management &amp; Technology (IJRMT)</w:t>
      </w:r>
      <w:r w:rsidRPr="00305883">
        <w:rPr>
          <w:noProof/>
          <w:szCs w:val="24"/>
        </w:rPr>
        <w:t xml:space="preserve">, </w:t>
      </w:r>
      <w:r w:rsidRPr="00305883">
        <w:rPr>
          <w:i/>
          <w:iCs/>
          <w:noProof/>
          <w:szCs w:val="24"/>
        </w:rPr>
        <w:t>3</w:t>
      </w:r>
      <w:r w:rsidRPr="00305883">
        <w:rPr>
          <w:noProof/>
          <w:szCs w:val="24"/>
        </w:rPr>
        <w:t>(3), 86–95.</w:t>
      </w:r>
    </w:p>
    <w:p w:rsidR="00305883" w:rsidRPr="00305883" w:rsidRDefault="00305883" w:rsidP="00305883">
      <w:pPr>
        <w:widowControl w:val="0"/>
        <w:autoSpaceDE w:val="0"/>
        <w:autoSpaceDN w:val="0"/>
        <w:adjustRightInd w:val="0"/>
        <w:ind w:left="480" w:hanging="480"/>
        <w:jc w:val="lowKashida"/>
        <w:rPr>
          <w:noProof/>
          <w:szCs w:val="24"/>
        </w:rPr>
      </w:pPr>
      <w:r w:rsidRPr="00305883">
        <w:rPr>
          <w:noProof/>
          <w:szCs w:val="24"/>
        </w:rPr>
        <w:t xml:space="preserve">Nurul Huda, M. E. N. (2014). </w:t>
      </w:r>
      <w:r w:rsidRPr="00305883">
        <w:rPr>
          <w:i/>
          <w:iCs/>
          <w:noProof/>
          <w:szCs w:val="24"/>
        </w:rPr>
        <w:t>Investasi pada Pasar Modal Syariah</w:t>
      </w:r>
      <w:r w:rsidRPr="00305883">
        <w:rPr>
          <w:noProof/>
          <w:szCs w:val="24"/>
        </w:rPr>
        <w:t xml:space="preserve"> (Edisi Revi). Jakarta: Kencana.</w:t>
      </w:r>
    </w:p>
    <w:p w:rsidR="00305883" w:rsidRPr="00305883" w:rsidRDefault="00305883" w:rsidP="00305883">
      <w:pPr>
        <w:widowControl w:val="0"/>
        <w:autoSpaceDE w:val="0"/>
        <w:autoSpaceDN w:val="0"/>
        <w:adjustRightInd w:val="0"/>
        <w:ind w:left="480" w:hanging="480"/>
        <w:jc w:val="lowKashida"/>
        <w:rPr>
          <w:noProof/>
          <w:szCs w:val="24"/>
        </w:rPr>
      </w:pPr>
      <w:r w:rsidRPr="00305883">
        <w:rPr>
          <w:noProof/>
          <w:szCs w:val="24"/>
        </w:rPr>
        <w:t xml:space="preserve">Repi Putra Irawan, W. (2013). Penerapan Analisis Fundamental Dalam Menilai Investasi Saham Di Bursa Efek Indonesia. </w:t>
      </w:r>
      <w:r w:rsidRPr="00305883">
        <w:rPr>
          <w:i/>
          <w:iCs/>
          <w:noProof/>
          <w:szCs w:val="24"/>
        </w:rPr>
        <w:t>Jurnal Ilmu &amp; Riset Akuntansi</w:t>
      </w:r>
      <w:r w:rsidRPr="00305883">
        <w:rPr>
          <w:noProof/>
          <w:szCs w:val="24"/>
        </w:rPr>
        <w:t xml:space="preserve">, </w:t>
      </w:r>
      <w:r w:rsidRPr="00305883">
        <w:rPr>
          <w:i/>
          <w:iCs/>
          <w:noProof/>
          <w:szCs w:val="24"/>
        </w:rPr>
        <w:t>2</w:t>
      </w:r>
      <w:r w:rsidRPr="00305883">
        <w:rPr>
          <w:noProof/>
          <w:szCs w:val="24"/>
        </w:rPr>
        <w:t>(11), 1–17.</w:t>
      </w:r>
    </w:p>
    <w:p w:rsidR="00305883" w:rsidRPr="00305883" w:rsidRDefault="00305883" w:rsidP="00305883">
      <w:pPr>
        <w:widowControl w:val="0"/>
        <w:autoSpaceDE w:val="0"/>
        <w:autoSpaceDN w:val="0"/>
        <w:adjustRightInd w:val="0"/>
        <w:ind w:left="480" w:hanging="480"/>
        <w:jc w:val="lowKashida"/>
        <w:rPr>
          <w:noProof/>
          <w:szCs w:val="24"/>
        </w:rPr>
      </w:pPr>
      <w:r w:rsidRPr="00305883">
        <w:rPr>
          <w:noProof/>
          <w:szCs w:val="24"/>
        </w:rPr>
        <w:t xml:space="preserve">Shittu, I., Ahmad, A. C., &amp; Ishak, Z. (2016). Akademia Baru Price to Book Value , Price to Sales Multiples and Stock Price ; Evidence from Nigerian Listed Firms Akademia Baru. </w:t>
      </w:r>
      <w:r w:rsidRPr="00305883">
        <w:rPr>
          <w:i/>
          <w:iCs/>
          <w:noProof/>
          <w:szCs w:val="24"/>
        </w:rPr>
        <w:t>Journal of Advanced Research in Business and Management Studies</w:t>
      </w:r>
      <w:r w:rsidRPr="00305883">
        <w:rPr>
          <w:noProof/>
          <w:szCs w:val="24"/>
        </w:rPr>
        <w:t xml:space="preserve">, </w:t>
      </w:r>
      <w:r w:rsidRPr="00305883">
        <w:rPr>
          <w:i/>
          <w:iCs/>
          <w:noProof/>
          <w:szCs w:val="24"/>
        </w:rPr>
        <w:t>3</w:t>
      </w:r>
      <w:r w:rsidRPr="00305883">
        <w:rPr>
          <w:noProof/>
          <w:szCs w:val="24"/>
        </w:rPr>
        <w:t>(1), 85–93.</w:t>
      </w:r>
    </w:p>
    <w:p w:rsidR="00305883" w:rsidRPr="00305883" w:rsidRDefault="00305883" w:rsidP="00305883">
      <w:pPr>
        <w:widowControl w:val="0"/>
        <w:autoSpaceDE w:val="0"/>
        <w:autoSpaceDN w:val="0"/>
        <w:adjustRightInd w:val="0"/>
        <w:ind w:left="480" w:hanging="480"/>
        <w:jc w:val="lowKashida"/>
        <w:rPr>
          <w:noProof/>
        </w:rPr>
      </w:pPr>
      <w:r w:rsidRPr="00305883">
        <w:rPr>
          <w:noProof/>
          <w:szCs w:val="24"/>
        </w:rPr>
        <w:t>Winati, R. (2015). 5 Tahun terakhir Kinerja kumpulan Saham Syariah dibawah IHGS. Retrieved April 28, 2019, from https://www.bareksa.com/id/text/2015/12/18/chart-of-the-day-5-tahun-terakhirkinerjakumpulan-saham-syariah-dibawah-ihsg/12224/news</w:t>
      </w:r>
    </w:p>
    <w:p w:rsidR="00F41C66" w:rsidRPr="00305883" w:rsidRDefault="00305883" w:rsidP="00305883">
      <w:pPr>
        <w:jc w:val="lowKashida"/>
      </w:pPr>
      <w:r>
        <w:fldChar w:fldCharType="end"/>
      </w:r>
    </w:p>
    <w:p w:rsidR="00F41C66" w:rsidRDefault="00F41C66" w:rsidP="00D73172">
      <w:pPr>
        <w:spacing w:after="120"/>
        <w:ind w:firstLine="360"/>
        <w:jc w:val="both"/>
        <w:rPr>
          <w:sz w:val="22"/>
          <w:szCs w:val="22"/>
        </w:rPr>
      </w:pPr>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5733" w:rsidRDefault="00575733">
      <w:r>
        <w:separator/>
      </w:r>
    </w:p>
  </w:endnote>
  <w:endnote w:type="continuationSeparator" w:id="0">
    <w:p w:rsidR="00575733" w:rsidRDefault="00575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Antiqua">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655"/>
      <w:docPartObj>
        <w:docPartGallery w:val="Page Numbers (Bottom of Page)"/>
        <w:docPartUnique/>
      </w:docPartObj>
    </w:sdtPr>
    <w:sdtEndPr/>
    <w:sdtContent>
      <w:p w:rsidR="002A01C2" w:rsidRDefault="0065308C" w:rsidP="00F41C66">
        <w:pPr>
          <w:pStyle w:val="Footer"/>
          <w:jc w:val="right"/>
        </w:pPr>
        <w:r>
          <w:fldChar w:fldCharType="begin"/>
        </w:r>
        <w:r>
          <w:instrText xml:space="preserve"> PAGE   \* MERGEFORMAT </w:instrText>
        </w:r>
        <w:r>
          <w:fldChar w:fldCharType="separate"/>
        </w:r>
        <w:r w:rsidR="00355797">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5733" w:rsidRDefault="00575733">
      <w:r>
        <w:separator/>
      </w:r>
    </w:p>
  </w:footnote>
  <w:footnote w:type="continuationSeparator" w:id="0">
    <w:p w:rsidR="00575733" w:rsidRDefault="00575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642" w:rsidRPr="001D0642" w:rsidRDefault="001D0642">
    <w:pPr>
      <w:pStyle w:val="Header"/>
      <w:rPr>
        <w:b/>
        <w:i/>
        <w:lang w:val="id-ID"/>
      </w:rPr>
    </w:pPr>
    <w:r>
      <w:rPr>
        <w:b/>
        <w:i/>
        <w:lang w:val="id-ID"/>
      </w:rPr>
      <w:t>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E54EF9"/>
    <w:multiLevelType w:val="hybridMultilevel"/>
    <w:tmpl w:val="11AAF762"/>
    <w:lvl w:ilvl="0" w:tplc="402888E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4">
    <w:nsid w:val="1C2155CD"/>
    <w:multiLevelType w:val="hybridMultilevel"/>
    <w:tmpl w:val="DC509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424230"/>
    <w:multiLevelType w:val="hybridMultilevel"/>
    <w:tmpl w:val="A126ABFE"/>
    <w:lvl w:ilvl="0" w:tplc="7012CBE4">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6">
    <w:nsid w:val="39DB5820"/>
    <w:multiLevelType w:val="hybridMultilevel"/>
    <w:tmpl w:val="CC44D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8">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68392516"/>
    <w:multiLevelType w:val="hybridMultilevel"/>
    <w:tmpl w:val="9A46ED4E"/>
    <w:lvl w:ilvl="0" w:tplc="20A493F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1">
    <w:nsid w:val="7BE020C3"/>
    <w:multiLevelType w:val="hybridMultilevel"/>
    <w:tmpl w:val="9C04A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7"/>
  </w:num>
  <w:num w:numId="3">
    <w:abstractNumId w:val="1"/>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8"/>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0C81"/>
    <w:rsid w:val="00017BCC"/>
    <w:rsid w:val="00032073"/>
    <w:rsid w:val="00136193"/>
    <w:rsid w:val="001419FC"/>
    <w:rsid w:val="001B277F"/>
    <w:rsid w:val="001C0C46"/>
    <w:rsid w:val="001D0642"/>
    <w:rsid w:val="002006E1"/>
    <w:rsid w:val="00201B74"/>
    <w:rsid w:val="00203B5F"/>
    <w:rsid w:val="0021008A"/>
    <w:rsid w:val="00214280"/>
    <w:rsid w:val="00220AAF"/>
    <w:rsid w:val="002241B8"/>
    <w:rsid w:val="002318A5"/>
    <w:rsid w:val="00240055"/>
    <w:rsid w:val="0026234A"/>
    <w:rsid w:val="00305883"/>
    <w:rsid w:val="00307AC7"/>
    <w:rsid w:val="00324AFE"/>
    <w:rsid w:val="00336B34"/>
    <w:rsid w:val="003451AD"/>
    <w:rsid w:val="00353F38"/>
    <w:rsid w:val="00355797"/>
    <w:rsid w:val="00381F2E"/>
    <w:rsid w:val="004013F0"/>
    <w:rsid w:val="00467D33"/>
    <w:rsid w:val="00482F53"/>
    <w:rsid w:val="004A6B49"/>
    <w:rsid w:val="004B7814"/>
    <w:rsid w:val="004C5327"/>
    <w:rsid w:val="00541D2A"/>
    <w:rsid w:val="00575733"/>
    <w:rsid w:val="00580208"/>
    <w:rsid w:val="005E0159"/>
    <w:rsid w:val="006048B8"/>
    <w:rsid w:val="00612CF4"/>
    <w:rsid w:val="006459CF"/>
    <w:rsid w:val="0065308C"/>
    <w:rsid w:val="006636B1"/>
    <w:rsid w:val="00670614"/>
    <w:rsid w:val="006D68C4"/>
    <w:rsid w:val="00711C4D"/>
    <w:rsid w:val="00713F5B"/>
    <w:rsid w:val="007250E5"/>
    <w:rsid w:val="007349A7"/>
    <w:rsid w:val="007432C2"/>
    <w:rsid w:val="007A0CBD"/>
    <w:rsid w:val="007D1129"/>
    <w:rsid w:val="007F3CF3"/>
    <w:rsid w:val="0080184F"/>
    <w:rsid w:val="0084586B"/>
    <w:rsid w:val="00876F86"/>
    <w:rsid w:val="008964A4"/>
    <w:rsid w:val="008B6850"/>
    <w:rsid w:val="00917D2F"/>
    <w:rsid w:val="009243FC"/>
    <w:rsid w:val="009316D9"/>
    <w:rsid w:val="009331BC"/>
    <w:rsid w:val="0099047D"/>
    <w:rsid w:val="00992B6D"/>
    <w:rsid w:val="009D4C59"/>
    <w:rsid w:val="009F3609"/>
    <w:rsid w:val="00A03ECE"/>
    <w:rsid w:val="00A56E67"/>
    <w:rsid w:val="00A72B34"/>
    <w:rsid w:val="00AD6B26"/>
    <w:rsid w:val="00AE435A"/>
    <w:rsid w:val="00B178C0"/>
    <w:rsid w:val="00BC782F"/>
    <w:rsid w:val="00BD4300"/>
    <w:rsid w:val="00BE5E04"/>
    <w:rsid w:val="00BE7B73"/>
    <w:rsid w:val="00C35CDC"/>
    <w:rsid w:val="00CA633C"/>
    <w:rsid w:val="00D02E0A"/>
    <w:rsid w:val="00D500E1"/>
    <w:rsid w:val="00D73172"/>
    <w:rsid w:val="00DB5735"/>
    <w:rsid w:val="00DD48A1"/>
    <w:rsid w:val="00DE4AF3"/>
    <w:rsid w:val="00E226DA"/>
    <w:rsid w:val="00E501F4"/>
    <w:rsid w:val="00E62A2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84BB9F8-FF8B-42DD-B2F0-C6E9AEBB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tlid-translation">
    <w:name w:val="tlid-translation"/>
    <w:basedOn w:val="DefaultParagraphFont"/>
    <w:rsid w:val="00381F2E"/>
  </w:style>
  <w:style w:type="table" w:styleId="PlainTable2">
    <w:name w:val="Plain Table 2"/>
    <w:basedOn w:val="TableNormal"/>
    <w:uiPriority w:val="42"/>
    <w:rsid w:val="00381F2E"/>
    <w:pPr>
      <w:spacing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1807">
      <w:bodyDiv w:val="1"/>
      <w:marLeft w:val="0"/>
      <w:marRight w:val="0"/>
      <w:marTop w:val="0"/>
      <w:marBottom w:val="0"/>
      <w:divBdr>
        <w:top w:val="none" w:sz="0" w:space="0" w:color="auto"/>
        <w:left w:val="none" w:sz="0" w:space="0" w:color="auto"/>
        <w:bottom w:val="none" w:sz="0" w:space="0" w:color="auto"/>
        <w:right w:val="none" w:sz="0" w:space="0" w:color="auto"/>
      </w:divBdr>
    </w:div>
    <w:div w:id="57291004">
      <w:bodyDiv w:val="1"/>
      <w:marLeft w:val="0"/>
      <w:marRight w:val="0"/>
      <w:marTop w:val="0"/>
      <w:marBottom w:val="0"/>
      <w:divBdr>
        <w:top w:val="none" w:sz="0" w:space="0" w:color="auto"/>
        <w:left w:val="none" w:sz="0" w:space="0" w:color="auto"/>
        <w:bottom w:val="none" w:sz="0" w:space="0" w:color="auto"/>
        <w:right w:val="none" w:sz="0" w:space="0" w:color="auto"/>
      </w:divBdr>
    </w:div>
    <w:div w:id="91173328">
      <w:bodyDiv w:val="1"/>
      <w:marLeft w:val="0"/>
      <w:marRight w:val="0"/>
      <w:marTop w:val="0"/>
      <w:marBottom w:val="0"/>
      <w:divBdr>
        <w:top w:val="none" w:sz="0" w:space="0" w:color="auto"/>
        <w:left w:val="none" w:sz="0" w:space="0" w:color="auto"/>
        <w:bottom w:val="none" w:sz="0" w:space="0" w:color="auto"/>
        <w:right w:val="none" w:sz="0" w:space="0" w:color="auto"/>
      </w:divBdr>
    </w:div>
    <w:div w:id="247231949">
      <w:bodyDiv w:val="1"/>
      <w:marLeft w:val="0"/>
      <w:marRight w:val="0"/>
      <w:marTop w:val="0"/>
      <w:marBottom w:val="0"/>
      <w:divBdr>
        <w:top w:val="none" w:sz="0" w:space="0" w:color="auto"/>
        <w:left w:val="none" w:sz="0" w:space="0" w:color="auto"/>
        <w:bottom w:val="none" w:sz="0" w:space="0" w:color="auto"/>
        <w:right w:val="none" w:sz="0" w:space="0" w:color="auto"/>
      </w:divBdr>
    </w:div>
    <w:div w:id="282466565">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746223981">
      <w:bodyDiv w:val="1"/>
      <w:marLeft w:val="0"/>
      <w:marRight w:val="0"/>
      <w:marTop w:val="0"/>
      <w:marBottom w:val="0"/>
      <w:divBdr>
        <w:top w:val="none" w:sz="0" w:space="0" w:color="auto"/>
        <w:left w:val="none" w:sz="0" w:space="0" w:color="auto"/>
        <w:bottom w:val="none" w:sz="0" w:space="0" w:color="auto"/>
        <w:right w:val="none" w:sz="0" w:space="0" w:color="auto"/>
      </w:divBdr>
    </w:div>
    <w:div w:id="801189747">
      <w:bodyDiv w:val="1"/>
      <w:marLeft w:val="0"/>
      <w:marRight w:val="0"/>
      <w:marTop w:val="0"/>
      <w:marBottom w:val="0"/>
      <w:divBdr>
        <w:top w:val="none" w:sz="0" w:space="0" w:color="auto"/>
        <w:left w:val="none" w:sz="0" w:space="0" w:color="auto"/>
        <w:bottom w:val="none" w:sz="0" w:space="0" w:color="auto"/>
        <w:right w:val="none" w:sz="0" w:space="0" w:color="auto"/>
      </w:divBdr>
    </w:div>
    <w:div w:id="826746374">
      <w:bodyDiv w:val="1"/>
      <w:marLeft w:val="0"/>
      <w:marRight w:val="0"/>
      <w:marTop w:val="0"/>
      <w:marBottom w:val="0"/>
      <w:divBdr>
        <w:top w:val="none" w:sz="0" w:space="0" w:color="auto"/>
        <w:left w:val="none" w:sz="0" w:space="0" w:color="auto"/>
        <w:bottom w:val="none" w:sz="0" w:space="0" w:color="auto"/>
        <w:right w:val="none" w:sz="0" w:space="0" w:color="auto"/>
      </w:divBdr>
    </w:div>
    <w:div w:id="1042049223">
      <w:bodyDiv w:val="1"/>
      <w:marLeft w:val="0"/>
      <w:marRight w:val="0"/>
      <w:marTop w:val="0"/>
      <w:marBottom w:val="0"/>
      <w:divBdr>
        <w:top w:val="none" w:sz="0" w:space="0" w:color="auto"/>
        <w:left w:val="none" w:sz="0" w:space="0" w:color="auto"/>
        <w:bottom w:val="none" w:sz="0" w:space="0" w:color="auto"/>
        <w:right w:val="none" w:sz="0" w:space="0" w:color="auto"/>
      </w:divBdr>
    </w:div>
    <w:div w:id="1092047429">
      <w:bodyDiv w:val="1"/>
      <w:marLeft w:val="0"/>
      <w:marRight w:val="0"/>
      <w:marTop w:val="0"/>
      <w:marBottom w:val="0"/>
      <w:divBdr>
        <w:top w:val="none" w:sz="0" w:space="0" w:color="auto"/>
        <w:left w:val="none" w:sz="0" w:space="0" w:color="auto"/>
        <w:bottom w:val="none" w:sz="0" w:space="0" w:color="auto"/>
        <w:right w:val="none" w:sz="0" w:space="0" w:color="auto"/>
      </w:divBdr>
    </w:div>
    <w:div w:id="1268076267">
      <w:bodyDiv w:val="1"/>
      <w:marLeft w:val="0"/>
      <w:marRight w:val="0"/>
      <w:marTop w:val="0"/>
      <w:marBottom w:val="0"/>
      <w:divBdr>
        <w:top w:val="none" w:sz="0" w:space="0" w:color="auto"/>
        <w:left w:val="none" w:sz="0" w:space="0" w:color="auto"/>
        <w:bottom w:val="none" w:sz="0" w:space="0" w:color="auto"/>
        <w:right w:val="none" w:sz="0" w:space="0" w:color="auto"/>
      </w:divBdr>
    </w:div>
    <w:div w:id="1285506878">
      <w:bodyDiv w:val="1"/>
      <w:marLeft w:val="0"/>
      <w:marRight w:val="0"/>
      <w:marTop w:val="0"/>
      <w:marBottom w:val="0"/>
      <w:divBdr>
        <w:top w:val="none" w:sz="0" w:space="0" w:color="auto"/>
        <w:left w:val="none" w:sz="0" w:space="0" w:color="auto"/>
        <w:bottom w:val="none" w:sz="0" w:space="0" w:color="auto"/>
        <w:right w:val="none" w:sz="0" w:space="0" w:color="auto"/>
      </w:divBdr>
    </w:div>
    <w:div w:id="1513645009">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987122729">
      <w:bodyDiv w:val="1"/>
      <w:marLeft w:val="0"/>
      <w:marRight w:val="0"/>
      <w:marTop w:val="0"/>
      <w:marBottom w:val="0"/>
      <w:divBdr>
        <w:top w:val="none" w:sz="0" w:space="0" w:color="auto"/>
        <w:left w:val="none" w:sz="0" w:space="0" w:color="auto"/>
        <w:bottom w:val="none" w:sz="0" w:space="0" w:color="auto"/>
        <w:right w:val="none" w:sz="0" w:space="0" w:color="auto"/>
      </w:divBdr>
    </w:div>
    <w:div w:id="209913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isa.masruri.zaimsyah-2018@pasca.uair.ac.id" TargetMode="External"/><Relationship Id="rId13" Type="http://schemas.openxmlformats.org/officeDocument/2006/relationships/hyperlink" Target="http://www.idx.co.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dx.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jiatun-2018@pasca.unair.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4217A-EF4D-4479-8CCF-811E94FD9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5194</Words>
  <Characters>29609</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34734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Windows User</cp:lastModifiedBy>
  <cp:revision>2</cp:revision>
  <dcterms:created xsi:type="dcterms:W3CDTF">2019-05-04T06:32:00Z</dcterms:created>
  <dcterms:modified xsi:type="dcterms:W3CDTF">2019-05-04T06:32:00Z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4d3f3797-bc98-39e9-8497-a42ca04879aa</vt:lpwstr>
  </property>
  <property fmtid="{D5CDD505-2E9C-101B-9397-08002B2CF9AE}" pid="24" name="Mendeley Citation Style_1">
    <vt:lpwstr>http://www.zotero.org/styles/apa</vt:lpwstr>
  </property>
</Properties>
</file>