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8932" w14:textId="16446142" w:rsidR="00D73172" w:rsidRPr="00341019" w:rsidRDefault="00341019" w:rsidP="004B7814">
      <w:pPr>
        <w:pStyle w:val="Title"/>
        <w:tabs>
          <w:tab w:val="left" w:pos="-5400"/>
          <w:tab w:val="left" w:pos="-3330"/>
        </w:tabs>
        <w:rPr>
          <w:noProof/>
          <w:sz w:val="28"/>
          <w:szCs w:val="28"/>
          <w:lang w:val="id-ID"/>
        </w:rPr>
      </w:pPr>
      <w:r w:rsidRPr="00341019">
        <w:rPr>
          <w:noProof/>
          <w:sz w:val="28"/>
          <w:szCs w:val="28"/>
          <w:lang w:val="id-ID"/>
        </w:rPr>
        <w:t>STRATEGY OF CULTURAL PRESERVATION AND CULTURAL CONSERVATION AT THE CULTURE OFFICE OF BONE REGENCY</w:t>
      </w:r>
      <w:r w:rsidR="00454384" w:rsidRPr="00341019">
        <w:rPr>
          <w:noProof/>
          <w:sz w:val="28"/>
          <w:szCs w:val="28"/>
          <w:lang w:val="id-ID"/>
        </w:rPr>
        <w:t xml:space="preserve"> </w:t>
      </w:r>
    </w:p>
    <w:p w14:paraId="30252C84" w14:textId="77777777" w:rsidR="00D73172" w:rsidRPr="00341019" w:rsidRDefault="00D73172" w:rsidP="00D73172">
      <w:pPr>
        <w:jc w:val="center"/>
        <w:rPr>
          <w:b/>
          <w:noProof/>
          <w:sz w:val="28"/>
          <w:lang w:val="id-ID"/>
        </w:rPr>
      </w:pPr>
    </w:p>
    <w:p w14:paraId="1D298644" w14:textId="0D2702CC" w:rsidR="00D73172" w:rsidRPr="00341019" w:rsidRDefault="00341019" w:rsidP="00D73172">
      <w:pPr>
        <w:jc w:val="center"/>
        <w:rPr>
          <w:b/>
          <w:noProof/>
          <w:szCs w:val="24"/>
          <w:vertAlign w:val="superscript"/>
          <w:lang w:val="id-ID"/>
        </w:rPr>
      </w:pPr>
      <w:r w:rsidRPr="00341019">
        <w:rPr>
          <w:b/>
          <w:noProof/>
          <w:szCs w:val="24"/>
          <w:lang w:val="id-ID"/>
        </w:rPr>
        <w:t>Hasnawati</w:t>
      </w:r>
      <w:r w:rsidR="00D73172" w:rsidRPr="00341019">
        <w:rPr>
          <w:b/>
          <w:noProof/>
          <w:szCs w:val="24"/>
          <w:vertAlign w:val="superscript"/>
          <w:lang w:val="id-ID"/>
        </w:rPr>
        <w:t>1)</w:t>
      </w:r>
      <w:r w:rsidR="00D73172" w:rsidRPr="00341019">
        <w:rPr>
          <w:b/>
          <w:noProof/>
          <w:szCs w:val="24"/>
          <w:lang w:val="id-ID"/>
        </w:rPr>
        <w:t xml:space="preserve">, </w:t>
      </w:r>
      <w:r w:rsidRPr="00341019">
        <w:rPr>
          <w:b/>
          <w:noProof/>
          <w:szCs w:val="24"/>
          <w:lang w:val="id-ID"/>
        </w:rPr>
        <w:t>Mega Edarwati</w:t>
      </w:r>
      <w:r w:rsidRPr="00341019">
        <w:rPr>
          <w:b/>
          <w:noProof/>
          <w:szCs w:val="24"/>
          <w:vertAlign w:val="superscript"/>
          <w:lang w:val="id-ID"/>
        </w:rPr>
        <w:t>2</w:t>
      </w:r>
      <w:r w:rsidR="00D73172" w:rsidRPr="00341019">
        <w:rPr>
          <w:b/>
          <w:noProof/>
          <w:szCs w:val="24"/>
          <w:vertAlign w:val="superscript"/>
          <w:lang w:val="id-ID"/>
        </w:rPr>
        <w:t>)</w:t>
      </w:r>
      <w:r w:rsidRPr="00341019">
        <w:rPr>
          <w:b/>
          <w:noProof/>
          <w:szCs w:val="24"/>
          <w:lang w:val="id-ID"/>
        </w:rPr>
        <w:t>, Irmawati</w:t>
      </w:r>
      <w:r w:rsidRPr="00341019">
        <w:rPr>
          <w:b/>
          <w:noProof/>
          <w:szCs w:val="24"/>
          <w:vertAlign w:val="superscript"/>
          <w:lang w:val="id-ID"/>
        </w:rPr>
        <w:t>3)</w:t>
      </w:r>
      <w:r w:rsidRPr="00341019">
        <w:rPr>
          <w:b/>
          <w:noProof/>
          <w:szCs w:val="24"/>
          <w:lang w:val="id-ID"/>
        </w:rPr>
        <w:t>, H. A. Asdar</w:t>
      </w:r>
      <w:r w:rsidRPr="00341019">
        <w:rPr>
          <w:b/>
          <w:noProof/>
          <w:szCs w:val="24"/>
          <w:vertAlign w:val="superscript"/>
          <w:lang w:val="id-ID"/>
        </w:rPr>
        <w:t>4)</w:t>
      </w:r>
      <w:r w:rsidRPr="00341019">
        <w:rPr>
          <w:b/>
          <w:noProof/>
          <w:szCs w:val="24"/>
          <w:lang w:val="id-ID"/>
        </w:rPr>
        <w:t xml:space="preserve">, </w:t>
      </w:r>
      <w:r w:rsidR="004D3E10" w:rsidRPr="00341019">
        <w:rPr>
          <w:b/>
          <w:noProof/>
          <w:szCs w:val="24"/>
          <w:lang w:val="id-ID"/>
        </w:rPr>
        <w:t>R. A</w:t>
      </w:r>
      <w:r w:rsidR="004D3E10">
        <w:rPr>
          <w:b/>
          <w:noProof/>
          <w:szCs w:val="24"/>
        </w:rPr>
        <w:t xml:space="preserve">. </w:t>
      </w:r>
      <w:r w:rsidRPr="00341019">
        <w:rPr>
          <w:b/>
          <w:noProof/>
          <w:szCs w:val="24"/>
          <w:lang w:val="id-ID"/>
        </w:rPr>
        <w:t>Indrawati</w:t>
      </w:r>
      <w:r w:rsidRPr="00341019">
        <w:rPr>
          <w:b/>
          <w:noProof/>
          <w:szCs w:val="24"/>
          <w:vertAlign w:val="superscript"/>
          <w:lang w:val="id-ID"/>
        </w:rPr>
        <w:t>5)</w:t>
      </w:r>
    </w:p>
    <w:p w14:paraId="592A9A2C" w14:textId="10FC2033" w:rsidR="00341019" w:rsidRPr="00341019" w:rsidRDefault="00D73172" w:rsidP="00341019">
      <w:pPr>
        <w:jc w:val="center"/>
        <w:rPr>
          <w:noProof/>
          <w:sz w:val="22"/>
          <w:szCs w:val="22"/>
          <w:lang w:val="id-ID"/>
        </w:rPr>
      </w:pPr>
      <w:r w:rsidRPr="00341019">
        <w:rPr>
          <w:noProof/>
          <w:sz w:val="22"/>
          <w:szCs w:val="22"/>
          <w:vertAlign w:val="superscript"/>
          <w:lang w:val="id-ID"/>
        </w:rPr>
        <w:t>1</w:t>
      </w:r>
      <w:r w:rsidR="00341019" w:rsidRPr="00341019">
        <w:rPr>
          <w:noProof/>
          <w:sz w:val="22"/>
          <w:szCs w:val="22"/>
          <w:lang w:val="id-ID"/>
        </w:rPr>
        <w:t xml:space="preserve">Sekolah Tinggi Ilmu Administrasi Puanggrimaggalatung </w:t>
      </w:r>
    </w:p>
    <w:p w14:paraId="64176E97" w14:textId="72F92AF6" w:rsidR="00D73172" w:rsidRPr="00341019" w:rsidRDefault="004B7814" w:rsidP="00341019">
      <w:pPr>
        <w:jc w:val="center"/>
        <w:rPr>
          <w:noProof/>
          <w:sz w:val="22"/>
          <w:szCs w:val="22"/>
          <w:lang w:val="id-ID"/>
        </w:rPr>
      </w:pPr>
      <w:r w:rsidRPr="00341019">
        <w:rPr>
          <w:noProof/>
          <w:sz w:val="22"/>
          <w:szCs w:val="22"/>
          <w:lang w:val="id-ID"/>
        </w:rPr>
        <w:t>E-</w:t>
      </w:r>
      <w:r w:rsidR="00D73172" w:rsidRPr="00341019">
        <w:rPr>
          <w:noProof/>
          <w:sz w:val="22"/>
          <w:szCs w:val="22"/>
          <w:lang w:val="id-ID"/>
        </w:rPr>
        <w:t xml:space="preserve">mail: </w:t>
      </w:r>
      <w:hyperlink r:id="rId8" w:history="1">
        <w:r w:rsidR="00341019" w:rsidRPr="00341019">
          <w:rPr>
            <w:rStyle w:val="Hyperlink"/>
            <w:noProof/>
            <w:sz w:val="22"/>
            <w:szCs w:val="22"/>
            <w:lang w:val="id-ID"/>
          </w:rPr>
          <w:t>hasnawatialimuddin@gmail.com</w:t>
        </w:r>
      </w:hyperlink>
      <w:r w:rsidR="00341019" w:rsidRPr="00341019">
        <w:rPr>
          <w:noProof/>
          <w:sz w:val="22"/>
          <w:szCs w:val="22"/>
          <w:lang w:val="id-ID"/>
        </w:rPr>
        <w:t xml:space="preserve"> </w:t>
      </w:r>
    </w:p>
    <w:p w14:paraId="073A3ADB" w14:textId="163F2F09" w:rsidR="00341019" w:rsidRPr="00341019" w:rsidRDefault="00D73172" w:rsidP="00341019">
      <w:pPr>
        <w:jc w:val="center"/>
        <w:rPr>
          <w:noProof/>
          <w:sz w:val="22"/>
          <w:szCs w:val="22"/>
          <w:lang w:val="id-ID"/>
        </w:rPr>
      </w:pPr>
      <w:r w:rsidRPr="00341019">
        <w:rPr>
          <w:noProof/>
          <w:sz w:val="22"/>
          <w:szCs w:val="22"/>
          <w:vertAlign w:val="superscript"/>
          <w:lang w:val="id-ID"/>
        </w:rPr>
        <w:t>2</w:t>
      </w:r>
      <w:r w:rsidR="00341019" w:rsidRPr="00341019">
        <w:rPr>
          <w:noProof/>
          <w:sz w:val="22"/>
          <w:szCs w:val="22"/>
          <w:lang w:val="id-ID"/>
        </w:rPr>
        <w:t xml:space="preserve">Sekolah Tinggi Ilmu Administrasi Puanggrimaggalatung </w:t>
      </w:r>
    </w:p>
    <w:p w14:paraId="3362A491" w14:textId="56B5890A" w:rsidR="00D73172" w:rsidRPr="00341019" w:rsidRDefault="004B7814" w:rsidP="00341019">
      <w:pPr>
        <w:jc w:val="center"/>
        <w:rPr>
          <w:noProof/>
          <w:sz w:val="22"/>
          <w:szCs w:val="22"/>
          <w:lang w:val="id-ID"/>
        </w:rPr>
      </w:pPr>
      <w:r w:rsidRPr="00341019">
        <w:rPr>
          <w:noProof/>
          <w:sz w:val="22"/>
          <w:szCs w:val="22"/>
          <w:lang w:val="id-ID"/>
        </w:rPr>
        <w:t>E-</w:t>
      </w:r>
      <w:r w:rsidR="00D73172" w:rsidRPr="00341019">
        <w:rPr>
          <w:noProof/>
          <w:sz w:val="22"/>
          <w:szCs w:val="22"/>
          <w:lang w:val="id-ID"/>
        </w:rPr>
        <w:t xml:space="preserve">mail: </w:t>
      </w:r>
      <w:hyperlink r:id="rId9" w:history="1">
        <w:r w:rsidR="00341019" w:rsidRPr="00341019">
          <w:rPr>
            <w:rStyle w:val="Hyperlink"/>
            <w:noProof/>
            <w:sz w:val="22"/>
            <w:szCs w:val="22"/>
            <w:lang w:val="id-ID"/>
          </w:rPr>
          <w:t>megaedarwati25@gmail.com</w:t>
        </w:r>
      </w:hyperlink>
    </w:p>
    <w:p w14:paraId="682D2951" w14:textId="699F103F" w:rsidR="00341019" w:rsidRPr="00341019" w:rsidRDefault="00341019" w:rsidP="00341019">
      <w:pPr>
        <w:jc w:val="center"/>
        <w:rPr>
          <w:noProof/>
          <w:sz w:val="22"/>
          <w:szCs w:val="22"/>
          <w:lang w:val="id-ID"/>
        </w:rPr>
      </w:pPr>
      <w:r w:rsidRPr="00341019">
        <w:rPr>
          <w:noProof/>
          <w:sz w:val="22"/>
          <w:szCs w:val="22"/>
          <w:vertAlign w:val="superscript"/>
          <w:lang w:val="id-ID"/>
        </w:rPr>
        <w:t>3</w:t>
      </w:r>
      <w:r w:rsidRPr="00341019">
        <w:rPr>
          <w:noProof/>
          <w:sz w:val="22"/>
          <w:szCs w:val="22"/>
          <w:lang w:val="id-ID"/>
        </w:rPr>
        <w:t xml:space="preserve">Sekolah Tinggi Ilmu Administrasi Puanggrimaggalatung </w:t>
      </w:r>
    </w:p>
    <w:p w14:paraId="2796E617" w14:textId="28892FAB" w:rsidR="00341019" w:rsidRPr="00341019" w:rsidRDefault="00341019" w:rsidP="00341019">
      <w:pPr>
        <w:jc w:val="center"/>
        <w:rPr>
          <w:noProof/>
          <w:sz w:val="22"/>
          <w:szCs w:val="22"/>
          <w:lang w:val="id-ID"/>
        </w:rPr>
      </w:pPr>
      <w:r w:rsidRPr="00341019">
        <w:rPr>
          <w:noProof/>
          <w:sz w:val="22"/>
          <w:szCs w:val="22"/>
          <w:lang w:val="id-ID"/>
        </w:rPr>
        <w:t xml:space="preserve">E-mail: </w:t>
      </w:r>
      <w:hyperlink r:id="rId10" w:history="1">
        <w:r w:rsidRPr="00341019">
          <w:rPr>
            <w:rStyle w:val="Hyperlink"/>
            <w:noProof/>
            <w:sz w:val="22"/>
            <w:szCs w:val="22"/>
            <w:lang w:val="id-ID"/>
          </w:rPr>
          <w:t>Irmaw0213@gmail.com</w:t>
        </w:r>
      </w:hyperlink>
    </w:p>
    <w:p w14:paraId="6305B5C7" w14:textId="268F7C44" w:rsidR="00341019" w:rsidRPr="00341019" w:rsidRDefault="00341019" w:rsidP="00341019">
      <w:pPr>
        <w:jc w:val="center"/>
        <w:rPr>
          <w:noProof/>
          <w:sz w:val="22"/>
          <w:szCs w:val="22"/>
          <w:lang w:val="id-ID"/>
        </w:rPr>
      </w:pPr>
      <w:r w:rsidRPr="00341019">
        <w:rPr>
          <w:noProof/>
          <w:sz w:val="22"/>
          <w:szCs w:val="22"/>
          <w:vertAlign w:val="superscript"/>
          <w:lang w:val="id-ID"/>
        </w:rPr>
        <w:t>4</w:t>
      </w:r>
      <w:r w:rsidRPr="00341019">
        <w:rPr>
          <w:noProof/>
          <w:sz w:val="22"/>
          <w:szCs w:val="22"/>
          <w:lang w:val="id-ID"/>
        </w:rPr>
        <w:t xml:space="preserve">Sekolah Tinggi Ilmu Administrasi Puanggrimaggalatung </w:t>
      </w:r>
    </w:p>
    <w:p w14:paraId="6D1B80B0" w14:textId="457B435A" w:rsidR="00341019" w:rsidRPr="00341019" w:rsidRDefault="00341019" w:rsidP="00341019">
      <w:pPr>
        <w:jc w:val="center"/>
        <w:rPr>
          <w:noProof/>
          <w:sz w:val="22"/>
          <w:szCs w:val="22"/>
          <w:lang w:val="id-ID"/>
        </w:rPr>
      </w:pPr>
      <w:r w:rsidRPr="00341019">
        <w:rPr>
          <w:noProof/>
          <w:sz w:val="22"/>
          <w:szCs w:val="22"/>
          <w:lang w:val="id-ID"/>
        </w:rPr>
        <w:t xml:space="preserve">E-mail: </w:t>
      </w:r>
      <w:hyperlink r:id="rId11" w:history="1">
        <w:r w:rsidRPr="00341019">
          <w:rPr>
            <w:rStyle w:val="Hyperlink"/>
            <w:noProof/>
            <w:sz w:val="22"/>
            <w:szCs w:val="22"/>
            <w:lang w:val="id-ID"/>
          </w:rPr>
          <w:t>andiasdar568@gmail.com</w:t>
        </w:r>
      </w:hyperlink>
    </w:p>
    <w:p w14:paraId="601A421C" w14:textId="49E764EC" w:rsidR="00341019" w:rsidRPr="00341019" w:rsidRDefault="00341019" w:rsidP="00341019">
      <w:pPr>
        <w:jc w:val="center"/>
        <w:rPr>
          <w:noProof/>
          <w:sz w:val="22"/>
          <w:szCs w:val="22"/>
          <w:lang w:val="id-ID"/>
        </w:rPr>
      </w:pPr>
      <w:r w:rsidRPr="00341019">
        <w:rPr>
          <w:noProof/>
          <w:sz w:val="22"/>
          <w:szCs w:val="22"/>
          <w:vertAlign w:val="superscript"/>
          <w:lang w:val="id-ID"/>
        </w:rPr>
        <w:t>5</w:t>
      </w:r>
      <w:r w:rsidRPr="00341019">
        <w:rPr>
          <w:noProof/>
          <w:sz w:val="22"/>
          <w:szCs w:val="22"/>
          <w:lang w:val="id-ID"/>
        </w:rPr>
        <w:t xml:space="preserve">Sekolah Tinggi Ilmu Administrasi Puanggrimaggalatung </w:t>
      </w:r>
    </w:p>
    <w:p w14:paraId="6A671080" w14:textId="0A959C51" w:rsidR="00341019" w:rsidRPr="00341019" w:rsidRDefault="00341019" w:rsidP="00341019">
      <w:pPr>
        <w:jc w:val="center"/>
        <w:rPr>
          <w:noProof/>
          <w:sz w:val="22"/>
          <w:szCs w:val="22"/>
          <w:lang w:val="id-ID"/>
        </w:rPr>
      </w:pPr>
      <w:r w:rsidRPr="00341019">
        <w:rPr>
          <w:noProof/>
          <w:sz w:val="22"/>
          <w:szCs w:val="22"/>
          <w:lang w:val="id-ID"/>
        </w:rPr>
        <w:t xml:space="preserve">E-mail: </w:t>
      </w:r>
      <w:hyperlink r:id="rId12" w:history="1">
        <w:r w:rsidRPr="00341019">
          <w:rPr>
            <w:rStyle w:val="Hyperlink"/>
            <w:noProof/>
            <w:sz w:val="22"/>
            <w:szCs w:val="22"/>
            <w:lang w:val="id-ID"/>
          </w:rPr>
          <w:t>Ajengindrawati@gmail.com</w:t>
        </w:r>
      </w:hyperlink>
    </w:p>
    <w:p w14:paraId="77573134" w14:textId="77777777" w:rsidR="00341019" w:rsidRPr="00341019" w:rsidRDefault="00341019" w:rsidP="00341019">
      <w:pPr>
        <w:jc w:val="center"/>
        <w:rPr>
          <w:noProof/>
          <w:sz w:val="22"/>
          <w:szCs w:val="22"/>
          <w:lang w:val="id-ID"/>
        </w:rPr>
      </w:pPr>
    </w:p>
    <w:p w14:paraId="6A500D63" w14:textId="77777777" w:rsidR="00D73172" w:rsidRPr="00341019" w:rsidRDefault="00D73172" w:rsidP="00D73172">
      <w:pPr>
        <w:rPr>
          <w:b/>
          <w:noProof/>
          <w:lang w:val="id-ID"/>
        </w:rPr>
      </w:pPr>
    </w:p>
    <w:p w14:paraId="1C1E9072" w14:textId="55D85867" w:rsidR="00D73172" w:rsidRPr="00341019" w:rsidRDefault="00D73172" w:rsidP="00D73172">
      <w:pPr>
        <w:spacing w:after="120"/>
        <w:jc w:val="center"/>
        <w:rPr>
          <w:b/>
          <w:i/>
          <w:noProof/>
          <w:sz w:val="22"/>
          <w:szCs w:val="22"/>
          <w:lang w:val="id-ID"/>
        </w:rPr>
      </w:pPr>
      <w:r w:rsidRPr="00341019">
        <w:rPr>
          <w:b/>
          <w:i/>
          <w:noProof/>
          <w:sz w:val="22"/>
          <w:szCs w:val="22"/>
          <w:lang w:val="id-ID"/>
        </w:rPr>
        <w:t>Abstract</w:t>
      </w:r>
    </w:p>
    <w:p w14:paraId="5B981418" w14:textId="49724D13" w:rsidR="00D73172" w:rsidRPr="00341019" w:rsidRDefault="00B56E6F" w:rsidP="00D73172">
      <w:pPr>
        <w:autoSpaceDE w:val="0"/>
        <w:ind w:right="14"/>
        <w:jc w:val="both"/>
        <w:rPr>
          <w:i/>
          <w:noProof/>
          <w:sz w:val="22"/>
          <w:szCs w:val="22"/>
          <w:lang w:val="id-ID"/>
        </w:rPr>
      </w:pPr>
      <w:r w:rsidRPr="00B56E6F">
        <w:rPr>
          <w:i/>
          <w:noProof/>
          <w:sz w:val="22"/>
          <w:szCs w:val="22"/>
          <w:lang w:val="id-ID"/>
        </w:rPr>
        <w:t>Cultural heritage plays a crucial role in human life, and efforts are needed to conserve it to preserve the essence and existence of culture. This study aims to formulate the research problem of preserving culture and cultural heritage at the Bone Regency cultural office and evaluating the strategy for preserving it. The research method is descriptive with qualitative explanations, and data collection techniques include interviews, observation, and documentation. Primary data was obtained directly from informants, and secondary data was analyzed from related documents. The Bone Regency cultural office has set a strategy for preserving cultural values and heritage by promoting cultural icons and increasing national recognition of intangible cultural heritage to revitalize cultural values among the people of Bone. Based on the results of data processing and analysis, it can be concluded that the cultural office's strategy for cultural conservation has been effective, although there are still areas for improvement in the future</w:t>
      </w:r>
      <w:r>
        <w:rPr>
          <w:i/>
          <w:noProof/>
          <w:sz w:val="22"/>
          <w:szCs w:val="22"/>
        </w:rPr>
        <w:t>.</w:t>
      </w:r>
    </w:p>
    <w:p w14:paraId="7447BCC6" w14:textId="77777777" w:rsidR="00D73172" w:rsidRPr="00341019" w:rsidRDefault="00D73172" w:rsidP="00D73172">
      <w:pPr>
        <w:autoSpaceDE w:val="0"/>
        <w:jc w:val="right"/>
        <w:rPr>
          <w:b/>
          <w:i/>
          <w:noProof/>
          <w:sz w:val="22"/>
          <w:szCs w:val="22"/>
          <w:lang w:val="id-ID"/>
        </w:rPr>
      </w:pPr>
    </w:p>
    <w:p w14:paraId="7F21F2E2" w14:textId="03C62D54" w:rsidR="00D73172" w:rsidRPr="00341019" w:rsidRDefault="00D73172" w:rsidP="007432C2">
      <w:pPr>
        <w:autoSpaceDE w:val="0"/>
        <w:spacing w:after="120"/>
        <w:ind w:left="1080" w:right="14" w:hanging="1080"/>
        <w:rPr>
          <w:i/>
          <w:noProof/>
          <w:sz w:val="22"/>
          <w:szCs w:val="22"/>
          <w:lang w:val="id-ID"/>
        </w:rPr>
      </w:pPr>
      <w:r w:rsidRPr="00341019">
        <w:rPr>
          <w:b/>
          <w:i/>
          <w:noProof/>
          <w:sz w:val="22"/>
          <w:szCs w:val="22"/>
          <w:lang w:val="id-ID"/>
        </w:rPr>
        <w:t>Keywords</w:t>
      </w:r>
      <w:r w:rsidR="00467D33" w:rsidRPr="00341019">
        <w:rPr>
          <w:b/>
          <w:i/>
          <w:noProof/>
          <w:sz w:val="22"/>
          <w:szCs w:val="22"/>
          <w:lang w:val="id-ID"/>
        </w:rPr>
        <w:t xml:space="preserve"> </w:t>
      </w:r>
      <w:r w:rsidRPr="00341019">
        <w:rPr>
          <w:b/>
          <w:i/>
          <w:noProof/>
          <w:sz w:val="22"/>
          <w:szCs w:val="22"/>
          <w:lang w:val="id-ID"/>
        </w:rPr>
        <w:t xml:space="preserve">: </w:t>
      </w:r>
      <w:r w:rsidR="00D80A49" w:rsidRPr="00D80A49">
        <w:rPr>
          <w:i/>
          <w:noProof/>
          <w:sz w:val="22"/>
          <w:szCs w:val="22"/>
          <w:lang w:val="id-ID"/>
        </w:rPr>
        <w:t>Culture, Cultural Conservation, Strategy, Preservation, Bone Regency Cultural Office.</w:t>
      </w:r>
    </w:p>
    <w:p w14:paraId="546FCB26" w14:textId="77777777" w:rsidR="00EF7622" w:rsidRPr="00341019" w:rsidRDefault="00EF7622" w:rsidP="007432C2">
      <w:pPr>
        <w:autoSpaceDE w:val="0"/>
        <w:spacing w:after="120"/>
        <w:ind w:left="1080" w:right="14" w:hanging="1080"/>
        <w:rPr>
          <w:i/>
          <w:noProof/>
          <w:sz w:val="22"/>
          <w:szCs w:val="22"/>
          <w:lang w:val="id-ID"/>
        </w:rPr>
      </w:pPr>
    </w:p>
    <w:p w14:paraId="5FD1652B" w14:textId="65617D1F" w:rsidR="00D73172" w:rsidRPr="00341019" w:rsidRDefault="00341019" w:rsidP="004B7814">
      <w:pPr>
        <w:pStyle w:val="Heading1"/>
        <w:numPr>
          <w:ilvl w:val="0"/>
          <w:numId w:val="6"/>
        </w:numPr>
        <w:suppressAutoHyphens/>
        <w:spacing w:after="60"/>
        <w:ind w:left="360"/>
        <w:rPr>
          <w:i w:val="0"/>
          <w:noProof/>
          <w:sz w:val="24"/>
          <w:szCs w:val="24"/>
          <w:lang w:val="id-ID"/>
        </w:rPr>
      </w:pPr>
      <w:r w:rsidRPr="00341019">
        <w:rPr>
          <w:i w:val="0"/>
          <w:noProof/>
          <w:sz w:val="24"/>
          <w:szCs w:val="24"/>
          <w:lang w:val="id-ID"/>
        </w:rPr>
        <w:t>INTRODUCTION</w:t>
      </w:r>
    </w:p>
    <w:p w14:paraId="0B886277" w14:textId="1FAB416B" w:rsidR="00341019" w:rsidRPr="00341019" w:rsidRDefault="00341019" w:rsidP="00341019">
      <w:pPr>
        <w:spacing w:after="120"/>
        <w:ind w:firstLine="357"/>
        <w:jc w:val="both"/>
        <w:rPr>
          <w:noProof/>
          <w:szCs w:val="24"/>
          <w:lang w:val="id-ID"/>
        </w:rPr>
      </w:pPr>
      <w:r w:rsidRPr="00341019">
        <w:rPr>
          <w:noProof/>
          <w:szCs w:val="24"/>
          <w:lang w:val="id-ID"/>
        </w:rPr>
        <w:t xml:space="preserve">Culture </w:t>
      </w:r>
      <w:r w:rsidR="00201E36" w:rsidRPr="00201E36">
        <w:rPr>
          <w:noProof/>
          <w:szCs w:val="24"/>
          <w:lang w:val="id-ID"/>
        </w:rPr>
        <w:t>is a multifaceted entity that encompasses various aspects of human society, such as science, faith, art, ethics, legislation, traditions, and numerous other skills and behaviors that individuals acquire as members of a community</w:t>
      </w:r>
      <w:r w:rsidR="00201E36">
        <w:rPr>
          <w:noProof/>
          <w:szCs w:val="24"/>
        </w:rPr>
        <w:t xml:space="preserve">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{"citationItems":[{"id":"ITEM-1","itemData":{"author":[{"dropping-particle":"","family":"Taylor","given":"Edward Burned","non-dropping-particle":"","parse-names":false,"suffix":""}],"id":"ITEM-1","issued":{"date-parts":[["2001"]]},"number-of-pages":"5","publisher":"Jhon Murray","publisher-place":"London","title":"Primitive Culture","type":"book"},"locator":"5","uris":["http://www.mendeley.com/documents/?uuid=3c20aed4-0b0d-476c-96a9-5c394eba320e","http://www.mendeley.com/documents/?uuid=5bd63da1-d4c2-4f71-8121-723a70f78941","http://www.mendeley.com/documents/?uuid=47197278-b07f-4d0d-9822-9a25308ded3f"]}],"mendeley":{"formattedCitation":"(Taylor, 2001, p. 5)","plainTextFormattedCitation":"(Taylor, 2001, p. 5)","previouslyFormattedCitation":"(Taylor, 2001, p. 5)"},"properties":{"noteIndex":0},"schema":"https://github.com/citation-style-language/schema/raw/master/csl-citation.json"}</w:instrText>
      </w:r>
      <w:r w:rsidRPr="00341019">
        <w:rPr>
          <w:rStyle w:val="FootnoteReference"/>
          <w:noProof/>
          <w:szCs w:val="24"/>
          <w:lang w:val="id-ID"/>
        </w:rPr>
        <w:fldChar w:fldCharType="separate"/>
      </w:r>
      <w:r w:rsidR="00201E36" w:rsidRPr="00201E36">
        <w:rPr>
          <w:bCs/>
          <w:noProof/>
          <w:szCs w:val="24"/>
        </w:rPr>
        <w:t>(Taylor, 2001, p. 5)</w:t>
      </w:r>
      <w:r w:rsidRPr="00341019">
        <w:rPr>
          <w:rStyle w:val="FootnoteReference"/>
          <w:noProof/>
          <w:szCs w:val="24"/>
          <w:lang w:val="id-ID"/>
        </w:rPr>
        <w:fldChar w:fldCharType="end"/>
      </w:r>
      <w:r w:rsidRPr="00341019">
        <w:rPr>
          <w:noProof/>
          <w:szCs w:val="24"/>
          <w:lang w:val="id-ID"/>
        </w:rPr>
        <w:t>. Humans and culture are two inseparable things, Humans and culture together build a life. Humans make an association into a sociocultural unit, and into a community group</w:t>
      </w:r>
      <w:r w:rsidR="007E594D">
        <w:rPr>
          <w:noProof/>
          <w:szCs w:val="24"/>
        </w:rPr>
        <w:t xml:space="preserve"> </w:t>
      </w:r>
      <w:r w:rsidR="007E594D">
        <w:rPr>
          <w:noProof/>
          <w:szCs w:val="24"/>
        </w:rPr>
        <w:fldChar w:fldCharType="begin" w:fldLock="1"/>
      </w:r>
      <w:r w:rsidR="007E594D">
        <w:rPr>
          <w:noProof/>
          <w:szCs w:val="24"/>
        </w:rPr>
        <w:instrText>ADDIN CSL_CITATION {"citationItems":[{"id":"ITEM-1","itemData":{"DOI":"https://doi.org/10.55047/jhssb.v1i3.151","author":[{"dropping-particle":"","family":"Apdillah","given":"Dicky","non-dropping-particle":"","parse-names":false,"suffix":""},{"dropping-particle":"","family":"Panjaitan","given":"Khairunnisak","non-dropping-particle":"","parse-names":false,"suffix":""},{"dropping-particle":"","family":"Stefanny","given":"Nandika Tiara Puteri","non-dropping-particle":"","parse-names":false,"suffix":""},{"dropping-particle":"","family":"Surbakti","given":"Febby Andriana","non-dropping-particle":"","parse-names":false,"suffix":""}],"container-title":"Journal of Humanities, Social Sciences and Business (JHSSB)","id":"ITEM-1","issue":"3","issued":{"date-parts":[["2022"]]},"page":"75-80","title":"The Global Competition in The Digital Society 5.0 Era: The Challenges of The Younger Generation","type":"article-journal","volume":"1"},"uris":["http://www.mendeley.com/documents/?uuid=c4f5690e-2bd1-33a8-8b98-8d72292a9176"]}],"mendeley":{"formattedCitation":"(Apdillah et al., 2022)","plainTextFormattedCitation":"(Apdillah et al., 2022)"},"properties":{"noteIndex":0},"schema":"https://github.com/citation-style-language/schema/raw/master/csl-citation.json"}</w:instrText>
      </w:r>
      <w:r w:rsidR="007E594D">
        <w:rPr>
          <w:noProof/>
          <w:szCs w:val="24"/>
        </w:rPr>
        <w:fldChar w:fldCharType="separate"/>
      </w:r>
      <w:r w:rsidR="007E594D" w:rsidRPr="007E594D">
        <w:rPr>
          <w:noProof/>
          <w:szCs w:val="24"/>
        </w:rPr>
        <w:t>(Apdillah et al., 2022)</w:t>
      </w:r>
      <w:r w:rsidR="007E594D">
        <w:rPr>
          <w:noProof/>
          <w:szCs w:val="24"/>
        </w:rPr>
        <w:fldChar w:fldCharType="end"/>
      </w:r>
      <w:r w:rsidRPr="00341019">
        <w:rPr>
          <w:noProof/>
          <w:szCs w:val="24"/>
          <w:lang w:val="id-ID"/>
        </w:rPr>
        <w:t xml:space="preserve">. In society, humans give birth, create, grow, and develop their culture, there is no human without culture and no culture without humans, as well as no culture without society and no society without culture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{"citationItems":[{"id":"ITEM-1","itemData":{"author":[{"dropping-particle":"","family":"Perlas","given":"Christian","non-dropping-particle":"","parse-names":false,"suffix":""}],"id":"ITEM-1","issued":{"date-parts":[["2006"]]},"number-of-pages":"30","publisher":"Grafika Mardi Yuana","publisher-place":"Jakarta","title":"Manusia Bugis","type":"book"},"locator":"30","uris":["http://www.mendeley.com/documents/?uuid=b5790723-5ae8-4a50-a4e7-a737509aa9f9","http://www.mendeley.com/documents/?uuid=fd0bb943-3611-421e-a245-1da6b395cc08","http://www.mendeley.com/documents/?uuid=8d2afd91-c78c-4929-816e-9d8da4714d7c"]}],"mendeley":{"formattedCitation":"(Perlas, 2006, p. 30)","plainTextFormattedCitation":"(Perlas, 2006, p. 30)","previouslyFormattedCitation":"(Perlas, 2006, p. 30)"},"properties":{"noteIndex":0},"schema":"https://github.com/citation-style-language/schema/raw/master/csl-citation.json"}</w:instrText>
      </w:r>
      <w:r w:rsidRPr="00341019">
        <w:rPr>
          <w:rStyle w:val="FootnoteReference"/>
          <w:noProof/>
          <w:szCs w:val="24"/>
          <w:lang w:val="id-ID"/>
        </w:rPr>
        <w:fldChar w:fldCharType="separate"/>
      </w:r>
      <w:r w:rsidR="00201E36" w:rsidRPr="00201E36">
        <w:rPr>
          <w:bCs/>
          <w:noProof/>
          <w:szCs w:val="24"/>
        </w:rPr>
        <w:t>(Perlas, 2006, p. 30)</w:t>
      </w:r>
      <w:r w:rsidRPr="00341019">
        <w:rPr>
          <w:rStyle w:val="FootnoteReference"/>
          <w:noProof/>
          <w:szCs w:val="24"/>
          <w:lang w:val="id-ID"/>
        </w:rPr>
        <w:fldChar w:fldCharType="end"/>
      </w:r>
      <w:r w:rsidRPr="00341019">
        <w:rPr>
          <w:noProof/>
          <w:szCs w:val="24"/>
          <w:lang w:val="id-ID"/>
        </w:rPr>
        <w:t>.</w:t>
      </w:r>
    </w:p>
    <w:p w14:paraId="481CB7BB" w14:textId="77777777" w:rsidR="00FC54E7" w:rsidRDefault="00FC54E7" w:rsidP="00341019">
      <w:pPr>
        <w:spacing w:after="120"/>
        <w:ind w:firstLine="357"/>
        <w:jc w:val="both"/>
        <w:rPr>
          <w:noProof/>
          <w:szCs w:val="24"/>
          <w:lang w:val="id-ID"/>
        </w:rPr>
      </w:pPr>
      <w:r w:rsidRPr="00FC54E7">
        <w:rPr>
          <w:noProof/>
          <w:szCs w:val="24"/>
          <w:lang w:val="id-ID"/>
        </w:rPr>
        <w:t>Culture can be categorized into two types: material culture (tangible) and intangible culture (intangible). Tangible culture refers to cultural objects that can be seen and touched, such as agricultural tools, artifacts, and weapons. On the other hand, intangible culture includes cultural elements that cannot be seen, but are experienced and felt, such as values, dances, ceremonies, rituals, and skills.</w:t>
      </w:r>
    </w:p>
    <w:p w14:paraId="5A2EC7CE" w14:textId="459389DD" w:rsidR="00341019" w:rsidRPr="00341019" w:rsidRDefault="00341019" w:rsidP="00341019">
      <w:pPr>
        <w:spacing w:after="120"/>
        <w:ind w:firstLine="357"/>
        <w:jc w:val="both"/>
        <w:rPr>
          <w:noProof/>
          <w:szCs w:val="24"/>
          <w:lang w:val="id-ID"/>
        </w:rPr>
      </w:pPr>
      <w:r w:rsidRPr="00341019">
        <w:rPr>
          <w:noProof/>
          <w:color w:val="000000"/>
          <w:szCs w:val="24"/>
          <w:lang w:val="id-ID"/>
        </w:rPr>
        <w:t xml:space="preserve">Bone Regency was once a large kingdom, known as the main Bugis kingdom, this also later made Bone the center of Bugis culture in the past. If you look at the long history of Bone as a great </w:t>
      </w:r>
      <w:r w:rsidRPr="00341019">
        <w:rPr>
          <w:noProof/>
          <w:color w:val="000000"/>
          <w:szCs w:val="24"/>
          <w:lang w:val="id-ID"/>
        </w:rPr>
        <w:lastRenderedPageBreak/>
        <w:t>kingdom in its time, Bone is a country with a million cultures that live and develop in the lives of its people. This form of culture can still be found today, although it's not like it used to be.</w:t>
      </w:r>
    </w:p>
    <w:p w14:paraId="4FB402ED" w14:textId="77777777" w:rsidR="00341019" w:rsidRPr="00341019" w:rsidRDefault="00341019" w:rsidP="00341019">
      <w:pPr>
        <w:spacing w:after="120"/>
        <w:ind w:firstLine="357"/>
        <w:jc w:val="both"/>
        <w:rPr>
          <w:noProof/>
          <w:szCs w:val="24"/>
          <w:lang w:val="id-ID"/>
        </w:rPr>
      </w:pPr>
      <w:r w:rsidRPr="00341019">
        <w:rPr>
          <w:noProof/>
          <w:szCs w:val="24"/>
          <w:lang w:val="id-ID"/>
        </w:rPr>
        <w:t>The challenges of cultural preservation in Bone Regency, seem endless, both challenges that come from outside and challenges from within Bone Regency itself. The challenges of globalization and modernization, for example, so many people in Bone are affected by this, especially youth, this makes them think that culture is ancient and irrelevant to the times, so with such a mindset slowly but surely culture will be abandoned. Likewise, with classical problems that have not been resolved until now, such as the clash of culture with religion, cultural actors are considered idolaters, and culture is considered haram, which is sad because expressions like this are sometimes made by public officials, even religious leaders. In addition, the decline of Bugis culture can occur because of the pattern of fostering and raising children. Parents no longer introduce Bugis culture to their children, for example, children are no longer taught Bugis language at home because it is considered tacky.</w:t>
      </w:r>
    </w:p>
    <w:p w14:paraId="47E116D0" w14:textId="18D47775" w:rsidR="00341019" w:rsidRPr="00341019" w:rsidRDefault="00341019" w:rsidP="00341019">
      <w:pPr>
        <w:spacing w:after="120"/>
        <w:ind w:firstLine="357"/>
        <w:jc w:val="both"/>
        <w:rPr>
          <w:noProof/>
          <w:szCs w:val="24"/>
          <w:lang w:val="id-ID"/>
        </w:rPr>
      </w:pPr>
      <w:r w:rsidRPr="00341019">
        <w:rPr>
          <w:noProof/>
          <w:szCs w:val="24"/>
          <w:lang w:val="id-ID"/>
        </w:rPr>
        <w:t>Culture is one of the mandatory affairs of the local government, therefore, in facing this problem, the local government in this case the cultural service as the vanguard of cultural preservation must be more sensitive and consider cultural issues as serious matters</w:t>
      </w:r>
      <w:r w:rsidR="00176216">
        <w:rPr>
          <w:noProof/>
          <w:szCs w:val="24"/>
        </w:rPr>
        <w:t xml:space="preserve"> </w:t>
      </w:r>
      <w:r w:rsidR="00176216">
        <w:rPr>
          <w:noProof/>
          <w:szCs w:val="24"/>
        </w:rPr>
        <w:fldChar w:fldCharType="begin" w:fldLock="1"/>
      </w:r>
      <w:r w:rsidR="00201E36">
        <w:rPr>
          <w:noProof/>
          <w:szCs w:val="24"/>
        </w:rPr>
        <w:instrText>ADDIN CSL_CITATION {"citationItems":[{"id":"ITEM-1","itemData":{"ISSN":"2810-0832","author":[{"dropping-particle":"","family":"Lestari","given":"Fina Tri","non-dropping-particle":"","parse-names":false,"suffix":""},{"dropping-particle":"","family":"Suryatimur","given":"Kartika Pradana","non-dropping-particle":"","parse-names":false,"suffix":""}],"container-title":"Journal of Humanities, Social Sciences and Business (JHSSB)","id":"ITEM-1","issue":"2","issued":{"date-parts":[["2023"]]},"page":"543-553","title":"Implementation of CSR (Corporate Social Responsibility) in Increasing the Image of PT Pertamina","type":"article-journal","volume":"2"},"uris":["http://www.mendeley.com/documents/?uuid=4367c78e-dc36-4830-ae79-756bc496a4dc","http://www.mendeley.com/documents/?uuid=56feffeb-75c9-4b30-ab86-6794f37d850f"]}],"mendeley":{"formattedCitation":"(Lestari &amp; Suryatimur, 2023)","plainTextFormattedCitation":"(Lestari &amp; Suryatimur, 2023)","previouslyFormattedCitation":"(Lestari &amp; Suryatimur, 2023)"},"properties":{"noteIndex":0},"schema":"https://github.com/citation-style-language/schema/raw/master/csl-citation.json"}</w:instrText>
      </w:r>
      <w:r w:rsidR="00176216">
        <w:rPr>
          <w:noProof/>
          <w:szCs w:val="24"/>
        </w:rPr>
        <w:fldChar w:fldCharType="separate"/>
      </w:r>
      <w:r w:rsidR="00176216" w:rsidRPr="00176216">
        <w:rPr>
          <w:noProof/>
          <w:szCs w:val="24"/>
        </w:rPr>
        <w:t>(Lestari &amp; Suryatimur, 2023)</w:t>
      </w:r>
      <w:r w:rsidR="00176216">
        <w:rPr>
          <w:noProof/>
          <w:szCs w:val="24"/>
        </w:rPr>
        <w:fldChar w:fldCharType="end"/>
      </w:r>
      <w:r w:rsidRPr="00341019">
        <w:rPr>
          <w:noProof/>
          <w:szCs w:val="24"/>
          <w:lang w:val="id-ID"/>
        </w:rPr>
        <w:t>. The right cultural strategy is needed to preserve and maintain the integrity of cultural values ​​and the physical condition of Cultural Conservation.</w:t>
      </w:r>
    </w:p>
    <w:p w14:paraId="09D7BA5F" w14:textId="340517FB" w:rsidR="00FC54E7" w:rsidRPr="00341019" w:rsidRDefault="00FC54E7" w:rsidP="00FC54E7">
      <w:pPr>
        <w:spacing w:after="120"/>
        <w:ind w:firstLine="357"/>
        <w:jc w:val="both"/>
        <w:rPr>
          <w:noProof/>
          <w:szCs w:val="24"/>
          <w:lang w:val="id-ID"/>
        </w:rPr>
      </w:pPr>
      <w:r w:rsidRPr="00FC54E7">
        <w:rPr>
          <w:noProof/>
          <w:szCs w:val="24"/>
          <w:lang w:val="id-ID"/>
        </w:rPr>
        <w:t>The act of cultural preservation involves ongoing efforts to safeguard a culture's traditions and heritage by protecting, enhancing, and utilizing them. The preservation of cultural heritage requires sustained efforts to ensure that it endures over time. As conservation efforts must be sustainable, it is crucial to establish sustainable practices. Given the information provided, the research question for this study is: What preservation strategy should be implemented by the Bone Regency Culture Service to protect and preserve its culture and cultural heritage?</w:t>
      </w:r>
    </w:p>
    <w:p w14:paraId="7CBD66B7" w14:textId="49ABFBC3" w:rsidR="006459CF" w:rsidRPr="00341019" w:rsidRDefault="00341019" w:rsidP="00341019">
      <w:pPr>
        <w:pStyle w:val="ListParagraph"/>
        <w:numPr>
          <w:ilvl w:val="0"/>
          <w:numId w:val="6"/>
        </w:numPr>
        <w:ind w:left="426"/>
        <w:rPr>
          <w:b/>
          <w:noProof/>
          <w:szCs w:val="24"/>
          <w:lang w:val="id-ID"/>
        </w:rPr>
      </w:pPr>
      <w:r w:rsidRPr="00341019">
        <w:rPr>
          <w:b/>
          <w:noProof/>
          <w:szCs w:val="24"/>
          <w:lang w:val="id-ID"/>
        </w:rPr>
        <w:t>RESEARCH METHODS</w:t>
      </w:r>
    </w:p>
    <w:p w14:paraId="0D971EB3" w14:textId="573BB4A9" w:rsidR="00E96D91" w:rsidRPr="00341019" w:rsidRDefault="00E96D91" w:rsidP="00341019">
      <w:pPr>
        <w:spacing w:after="120"/>
        <w:ind w:firstLine="357"/>
        <w:jc w:val="both"/>
        <w:rPr>
          <w:noProof/>
          <w:color w:val="000000"/>
          <w:szCs w:val="24"/>
          <w:lang w:val="id-ID"/>
        </w:rPr>
      </w:pPr>
      <w:r w:rsidRPr="00E96D91">
        <w:rPr>
          <w:noProof/>
          <w:color w:val="000000"/>
          <w:szCs w:val="24"/>
          <w:lang w:val="id-ID"/>
        </w:rPr>
        <w:t xml:space="preserve">The research employed a descriptive qualitative method using a case study approach. Qualitative research takes place in a natural setting and aims to interpret phenomena and reveal their meanings using various methods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{"citationItems":[{"id":"ITEM-1","itemData":{"author":[{"dropping-particle":"","family":"Moleong","given":"Lexy J","non-dropping-particle":"","parse-names":false,"suffix":""}],"container-title":"Bandung: Remaja Rosdakarya","id":"ITEM-1","issued":{"date-parts":[["2012"]]},"title":"Metodologi penelitian kualitatif","type":"article-journal"},"uris":["http://www.mendeley.com/documents/?uuid=bf9d84e7-6dc2-48ba-a21b-ba40319cb089"]}],"mendeley":{"formattedCitation":"(Moleong, 2012)","plainTextFormattedCitation":"(Moleong, 2012)","previouslyFormattedCitation":"(Moleong, 2012)"},"properties":{"noteIndex":0},"schema":"https://github.com/citation-style-language/schema/raw/master/csl-citation.json"}</w:instrText>
      </w:r>
      <w:r w:rsidRPr="00341019">
        <w:rPr>
          <w:rStyle w:val="FootnoteReference"/>
          <w:noProof/>
          <w:szCs w:val="24"/>
          <w:lang w:val="id-ID"/>
        </w:rPr>
        <w:fldChar w:fldCharType="separate"/>
      </w:r>
      <w:r w:rsidRPr="00201E36">
        <w:rPr>
          <w:bCs/>
          <w:noProof/>
          <w:szCs w:val="24"/>
        </w:rPr>
        <w:t>(Moleong, 2012)</w:t>
      </w:r>
      <w:r w:rsidRPr="00341019">
        <w:rPr>
          <w:rStyle w:val="FootnoteReference"/>
          <w:noProof/>
          <w:szCs w:val="24"/>
          <w:lang w:val="id-ID"/>
        </w:rPr>
        <w:fldChar w:fldCharType="end"/>
      </w:r>
      <w:r w:rsidRPr="00E96D91">
        <w:rPr>
          <w:noProof/>
          <w:color w:val="000000"/>
          <w:szCs w:val="24"/>
          <w:lang w:val="id-ID"/>
        </w:rPr>
        <w:t>. The study was conducted at the Bone Regency Culture Service located on Jalan Latenri Tatta No.1 Watampone in the South Sulawesi Province of Indonesia. It was conducted for two months from July to August 2022.</w:t>
      </w:r>
    </w:p>
    <w:p w14:paraId="2C260BDD" w14:textId="5CC64521" w:rsidR="00E96D91" w:rsidRPr="00341019" w:rsidRDefault="00E96D91" w:rsidP="00341019">
      <w:pPr>
        <w:spacing w:after="120"/>
        <w:ind w:firstLine="357"/>
        <w:jc w:val="both"/>
        <w:rPr>
          <w:noProof/>
          <w:color w:val="000000"/>
          <w:szCs w:val="24"/>
          <w:lang w:val="id-ID"/>
        </w:rPr>
      </w:pPr>
      <w:r w:rsidRPr="00E96D91">
        <w:rPr>
          <w:noProof/>
          <w:color w:val="000000"/>
          <w:szCs w:val="24"/>
          <w:lang w:val="id-ID"/>
        </w:rPr>
        <w:t xml:space="preserve">The research examines the strategy for preserving and conserving culture in Bone Regency. The research subjects, also referred to as informants, provide responses or information necessary for data collection </w:t>
      </w:r>
      <w:r w:rsidRPr="00341019">
        <w:rPr>
          <w:rStyle w:val="FootnoteReference"/>
          <w:noProof/>
          <w:color w:val="000000"/>
          <w:szCs w:val="24"/>
          <w:lang w:val="id-ID"/>
        </w:rPr>
        <w:fldChar w:fldCharType="begin" w:fldLock="1"/>
      </w:r>
      <w:r w:rsidR="007E594D">
        <w:rPr>
          <w:noProof/>
          <w:color w:val="000000"/>
          <w:szCs w:val="24"/>
          <w:lang w:val="id-ID"/>
        </w:rPr>
        <w:instrText>ADDIN CSL_CITATION {"citationItems":[{"id":"ITEM-1","itemData":{"author":[{"dropping-particle":"","family":"Santana","given":"Septian","non-dropping-particle":"","parse-names":false,"suffix":""}],"id":"ITEM-1","issued":{"date-parts":[["2007"]]},"number-of-pages":"25","publisher":"Yayasan Obor Indonesia","publisher-place":"Jakarta","title":"Menulis Ilmiah Metode Penelitian Kualitatif","type":"book"},"locator":"25","uris":["http://www.mendeley.com/documents/?uuid=5849c963-b090-4c30-8713-f56f96c1b396","http://www.mendeley.com/documents/?uuid=7ff45da1-48f1-4a55-86a2-2560c2b24b9d","http://www.mendeley.com/documents/?uuid=24ac78f9-a7f1-4f86-9615-63c797f2be24"]}],"mendeley":{"formattedCitation":"(Santana, 2007, p. 25)","plainTextFormattedCitation":"(Santana, 2007, p. 25)","previouslyFormattedCitation":"(Santana, 2007, p. 25)"},"properties":{"noteIndex":0},"schema":"https://github.com/citation-style-language/schema/raw/master/csl-citation.json"}</w:instrText>
      </w:r>
      <w:r w:rsidRPr="00341019">
        <w:rPr>
          <w:rStyle w:val="FootnoteReference"/>
          <w:noProof/>
          <w:color w:val="000000"/>
          <w:szCs w:val="24"/>
          <w:lang w:val="id-ID"/>
        </w:rPr>
        <w:fldChar w:fldCharType="separate"/>
      </w:r>
      <w:r w:rsidRPr="00201E36">
        <w:rPr>
          <w:bCs/>
          <w:noProof/>
          <w:color w:val="000000"/>
          <w:szCs w:val="24"/>
        </w:rPr>
        <w:t>(Santana, 2007, p. 25)</w:t>
      </w:r>
      <w:r w:rsidRPr="00341019">
        <w:rPr>
          <w:rStyle w:val="FootnoteReference"/>
          <w:noProof/>
          <w:color w:val="000000"/>
          <w:szCs w:val="24"/>
          <w:lang w:val="id-ID"/>
        </w:rPr>
        <w:fldChar w:fldCharType="end"/>
      </w:r>
      <w:r w:rsidRPr="00E96D91">
        <w:rPr>
          <w:noProof/>
          <w:color w:val="000000"/>
          <w:szCs w:val="24"/>
          <w:lang w:val="id-ID"/>
        </w:rPr>
        <w:t>. The study's research subjects include the Head of the Culture Service of Bone Regency, the Head of the Program Subdivision at the Bone Regency Culture Service, members of the Bone Cultural Conservation Expert Team, cultural experts from the Bone Regency government, Bone Cultural Figures, and the general public. Data for this study is categorized into primary and secondary sources. Primary data sources are information obtained directly from primary sources. The research collects data and information through interviews with the Head of the Culture Office of Bone Regency and traditional leaders/culturalists relevant to the study.</w:t>
      </w:r>
    </w:p>
    <w:p w14:paraId="091A80AE" w14:textId="06BED9AB" w:rsidR="006459CF" w:rsidRPr="00341019" w:rsidRDefault="00E96D91" w:rsidP="00341019">
      <w:pPr>
        <w:spacing w:after="120"/>
        <w:ind w:firstLine="357"/>
        <w:jc w:val="both"/>
        <w:rPr>
          <w:b/>
          <w:i/>
          <w:noProof/>
          <w:szCs w:val="24"/>
          <w:lang w:val="id-ID"/>
        </w:rPr>
      </w:pPr>
      <w:r w:rsidRPr="00E96D91">
        <w:rPr>
          <w:noProof/>
          <w:color w:val="000000"/>
          <w:szCs w:val="24"/>
          <w:lang w:val="id-ID"/>
        </w:rPr>
        <w:t>The data analysis in this research adopts the Miles and Huberman model. This analysis model indicates that in qualitative research, data analysis is conducted continuously until the data becomes saturated</w:t>
      </w:r>
      <w:r>
        <w:rPr>
          <w:noProof/>
          <w:color w:val="000000"/>
          <w:szCs w:val="24"/>
        </w:rPr>
        <w:t xml:space="preserve"> </w:t>
      </w:r>
      <w:r w:rsidR="00341019" w:rsidRPr="00341019">
        <w:rPr>
          <w:rStyle w:val="FootnoteReference"/>
          <w:noProof/>
          <w:color w:val="000000"/>
          <w:szCs w:val="24"/>
          <w:lang w:val="id-ID"/>
        </w:rPr>
        <w:fldChar w:fldCharType="begin" w:fldLock="1"/>
      </w:r>
      <w:r w:rsidR="00201E36">
        <w:rPr>
          <w:noProof/>
          <w:color w:val="000000"/>
          <w:szCs w:val="24"/>
          <w:lang w:val="id-ID"/>
        </w:rPr>
        <w:instrText>ADDIN CSL_CITATION {"citationItems":[{"id":"ITEM-1","itemData":{"author":[{"dropping-particle":"","family":"Sugiyono","given":"Prof Dr","non-dropping-particle":"","parse-names":false,"suffix":""}],"container-title":"CV. Alfabeta, Bandung","id":"ITEM-1","issued":{"date-parts":[["2007"]]},"title":"Metode Penelitian Kuantitatif Kualitatif dan R&amp;D","type":"article-journal"},"uris":["http://www.mendeley.com/documents/?uuid=5c27aabe-44a0-3833-98d8-5f9a6b69cc4c","http://www.mendeley.com/documents/?uuid=db830bf8-910a-4aae-9980-a5ebd01ed8b5"]}],"mendeley":{"formattedCitation":"(Sugiyono, 2007)","plainTextFormattedCitation":"(Sugiyono, 2007)","previouslyFormattedCitation":"(Sugiyono, 2007)"},"properties":{"noteIndex":0},"schema":"https://github.com/citation-style-language/schema/raw/master/csl-citation.json"}</w:instrText>
      </w:r>
      <w:r w:rsidR="00341019" w:rsidRPr="00341019">
        <w:rPr>
          <w:rStyle w:val="FootnoteReference"/>
          <w:noProof/>
          <w:color w:val="000000"/>
          <w:szCs w:val="24"/>
          <w:lang w:val="id-ID"/>
        </w:rPr>
        <w:fldChar w:fldCharType="separate"/>
      </w:r>
      <w:r w:rsidR="00341019" w:rsidRPr="00341019">
        <w:rPr>
          <w:noProof/>
          <w:color w:val="000000"/>
          <w:szCs w:val="24"/>
          <w:lang w:val="id-ID"/>
        </w:rPr>
        <w:t>(Sugiyono, 2007)</w:t>
      </w:r>
      <w:r w:rsidR="00341019" w:rsidRPr="00341019">
        <w:rPr>
          <w:rStyle w:val="FootnoteReference"/>
          <w:noProof/>
          <w:color w:val="000000"/>
          <w:szCs w:val="24"/>
          <w:lang w:val="id-ID"/>
        </w:rPr>
        <w:fldChar w:fldCharType="end"/>
      </w:r>
      <w:r w:rsidR="00341019" w:rsidRPr="00341019">
        <w:rPr>
          <w:noProof/>
          <w:color w:val="000000"/>
          <w:szCs w:val="24"/>
          <w:lang w:val="id-ID"/>
        </w:rPr>
        <w:t>.</w:t>
      </w:r>
    </w:p>
    <w:p w14:paraId="41722720" w14:textId="77777777" w:rsidR="00E96D91" w:rsidRDefault="00E96D91">
      <w:pPr>
        <w:spacing w:line="360" w:lineRule="auto"/>
        <w:rPr>
          <w:b/>
          <w:noProof/>
          <w:szCs w:val="24"/>
          <w:lang w:val="id-ID"/>
        </w:rPr>
      </w:pPr>
      <w:r>
        <w:rPr>
          <w:b/>
          <w:noProof/>
          <w:szCs w:val="24"/>
          <w:lang w:val="id-ID"/>
        </w:rPr>
        <w:br w:type="page"/>
      </w:r>
    </w:p>
    <w:p w14:paraId="58C752F9" w14:textId="62B128AC" w:rsidR="00D73172" w:rsidRPr="00341019" w:rsidRDefault="00341019" w:rsidP="00341019">
      <w:pPr>
        <w:pStyle w:val="ListParagraph"/>
        <w:numPr>
          <w:ilvl w:val="0"/>
          <w:numId w:val="6"/>
        </w:numPr>
        <w:ind w:left="284" w:hanging="284"/>
        <w:rPr>
          <w:b/>
          <w:noProof/>
          <w:szCs w:val="24"/>
          <w:lang w:val="id-ID"/>
        </w:rPr>
      </w:pPr>
      <w:r w:rsidRPr="00341019">
        <w:rPr>
          <w:b/>
          <w:noProof/>
          <w:szCs w:val="24"/>
          <w:lang w:val="id-ID"/>
        </w:rPr>
        <w:lastRenderedPageBreak/>
        <w:t>RESULT AND DISCUSSION</w:t>
      </w:r>
    </w:p>
    <w:p w14:paraId="38C887F6" w14:textId="77777777" w:rsidR="00341019" w:rsidRPr="00341019" w:rsidRDefault="00341019" w:rsidP="00341019">
      <w:pPr>
        <w:spacing w:after="120"/>
        <w:jc w:val="both"/>
        <w:rPr>
          <w:b/>
          <w:iCs/>
          <w:noProof/>
          <w:szCs w:val="24"/>
          <w:lang w:val="id-ID"/>
        </w:rPr>
      </w:pPr>
      <w:r w:rsidRPr="00341019">
        <w:rPr>
          <w:b/>
          <w:iCs/>
          <w:noProof/>
          <w:szCs w:val="24"/>
          <w:lang w:val="id-ID"/>
        </w:rPr>
        <w:t xml:space="preserve">Strategic Management </w:t>
      </w:r>
    </w:p>
    <w:p w14:paraId="0E93298F" w14:textId="1F9E5EE8" w:rsidR="00E96D91" w:rsidRPr="00341019" w:rsidRDefault="00E96D91" w:rsidP="00341019">
      <w:pPr>
        <w:pStyle w:val="ListParagraph"/>
        <w:spacing w:after="120"/>
        <w:ind w:left="0" w:firstLine="357"/>
        <w:jc w:val="both"/>
        <w:rPr>
          <w:noProof/>
          <w:szCs w:val="24"/>
          <w:lang w:val="id-ID"/>
        </w:rPr>
      </w:pPr>
      <w:r w:rsidRPr="00E96D91">
        <w:rPr>
          <w:noProof/>
          <w:szCs w:val="24"/>
          <w:lang w:val="id-ID"/>
        </w:rPr>
        <w:t>As stated by</w:t>
      </w:r>
      <w:r>
        <w:rPr>
          <w:noProof/>
          <w:szCs w:val="24"/>
        </w:rPr>
        <w:t xml:space="preserve">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{"citationItems":[{"id":"ITEM-1","itemData":{"author":[{"dropping-particle":"","family":"David","given":"Fred R.","non-dropping-particle":"","parse-names":false,"suffix":""}],"id":"ITEM-1","issued":{"date-parts":[["2010"]]},"number-of-pages":"15","publisher":"Salemba Empat","publisher-place":"Jakarta","title":"Manajemen Strategi Konsep","type":"book"},"locator":"15","uris":["http://www.mendeley.com/documents/?uuid=e64f2772-f02e-4303-8bf6-64b03bdadaa9","http://www.mendeley.com/documents/?uuid=a84b18e5-6b4c-4076-83f9-b464de924b57","http://www.mendeley.com/documents/?uuid=c61a9502-bee9-47bb-8442-1ca9d0713e5f"]}],"mendeley":{"formattedCitation":"(David, 2010, p. 15)","manualFormatting":"David (2010, p. 15)","plainTextFormattedCitation":"(David, 2010, p. 15)","previouslyFormattedCitation":"(David, 2010, p. 15)"},"properties":{"noteIndex":0},"schema":"https://github.com/citation-style-language/schema/raw/master/csl-citation.json"}</w:instrText>
      </w:r>
      <w:r w:rsidRPr="00341019">
        <w:rPr>
          <w:rStyle w:val="FootnoteReference"/>
          <w:noProof/>
          <w:szCs w:val="24"/>
          <w:lang w:val="id-ID"/>
        </w:rPr>
        <w:fldChar w:fldCharType="separate"/>
      </w:r>
      <w:r w:rsidRPr="00201E36">
        <w:rPr>
          <w:bCs/>
          <w:noProof/>
          <w:szCs w:val="24"/>
        </w:rPr>
        <w:t xml:space="preserve">David </w:t>
      </w:r>
      <w:r>
        <w:rPr>
          <w:bCs/>
          <w:noProof/>
          <w:szCs w:val="24"/>
        </w:rPr>
        <w:t>(</w:t>
      </w:r>
      <w:r w:rsidRPr="00201E36">
        <w:rPr>
          <w:bCs/>
          <w:noProof/>
          <w:szCs w:val="24"/>
        </w:rPr>
        <w:t>2010, p. 15)</w:t>
      </w:r>
      <w:r w:rsidRPr="00341019">
        <w:rPr>
          <w:rStyle w:val="FootnoteReference"/>
          <w:noProof/>
          <w:szCs w:val="24"/>
          <w:lang w:val="id-ID"/>
        </w:rPr>
        <w:fldChar w:fldCharType="end"/>
      </w:r>
      <w:r w:rsidRPr="00E96D91">
        <w:rPr>
          <w:noProof/>
          <w:szCs w:val="24"/>
          <w:lang w:val="id-ID"/>
        </w:rPr>
        <w:t>, Strategic Management refers to the process of formulating, implementing, and evaluating decisions that cut across different functions to enable an organization to achieve its objectives. Strategic management is an organizational endeavor that aims to align an organization with its environment.</w:t>
      </w:r>
    </w:p>
    <w:p w14:paraId="387C50A4" w14:textId="38A33C85" w:rsidR="00341019" w:rsidRPr="00341019" w:rsidRDefault="00341019" w:rsidP="00341019">
      <w:pPr>
        <w:pStyle w:val="ListParagraph"/>
        <w:spacing w:after="120"/>
        <w:ind w:left="0" w:firstLine="357"/>
        <w:jc w:val="both"/>
        <w:rPr>
          <w:noProof/>
          <w:szCs w:val="24"/>
          <w:lang w:val="id-ID"/>
        </w:rPr>
      </w:pPr>
      <w:r w:rsidRPr="00341019">
        <w:rPr>
          <w:noProof/>
          <w:szCs w:val="24"/>
          <w:lang w:val="id-ID"/>
        </w:rPr>
        <w:t xml:space="preserve">According to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{"citationItems":[{"id":"ITEM-1","itemData":{"author":[{"dropping-particle":"","family":"Robinson","given":"Perce J","non-dropping-particle":"","parse-names":false,"suffix":""}],"id":"ITEM-1","issued":{"date-parts":[["2002"]]},"number-of-pages":"99","publisher":"McGraw-Hill","publisher-place":"Boston","title":"Strategic Management","type":"book"},"locator":"99","uris":["http://www.mendeley.com/documents/?uuid=bfe76849-1d23-45d3-b712-948115aa1b40","http://www.mendeley.com/documents/?uuid=450ed851-38c9-4a51-b4c5-bbaf436b3e92","http://www.mendeley.com/documents/?uuid=885c13d1-3ecf-4d0c-aa30-58e01fe6ee26"]}],"mendeley":{"formattedCitation":"(Robinson, 2002, p. 99)","manualFormatting":"Robinson (2002, p. 99)","plainTextFormattedCitation":"(Robinson, 2002, p. 99)","previouslyFormattedCitation":"(Robinson &amp; R., 2002, p. 99)"},"properties":{"noteIndex":0},"schema":"https://github.com/citation-style-language/schema/raw/master/csl-citation.json"}</w:instrText>
      </w:r>
      <w:r w:rsidRPr="00341019">
        <w:rPr>
          <w:rStyle w:val="FootnoteReference"/>
          <w:noProof/>
          <w:szCs w:val="24"/>
          <w:lang w:val="id-ID"/>
        </w:rPr>
        <w:fldChar w:fldCharType="separate"/>
      </w:r>
      <w:r w:rsidR="00201E36" w:rsidRPr="00201E36">
        <w:rPr>
          <w:bCs/>
          <w:noProof/>
          <w:szCs w:val="24"/>
        </w:rPr>
        <w:t>Robinson</w:t>
      </w:r>
      <w:r w:rsidR="009C4955">
        <w:rPr>
          <w:bCs/>
          <w:noProof/>
          <w:szCs w:val="24"/>
        </w:rPr>
        <w:t xml:space="preserve"> (</w:t>
      </w:r>
      <w:r w:rsidR="00201E36" w:rsidRPr="00201E36">
        <w:rPr>
          <w:bCs/>
          <w:noProof/>
          <w:szCs w:val="24"/>
        </w:rPr>
        <w:t>2002, p. 99)</w:t>
      </w:r>
      <w:r w:rsidRPr="00341019">
        <w:rPr>
          <w:rStyle w:val="FootnoteReference"/>
          <w:noProof/>
          <w:szCs w:val="24"/>
          <w:lang w:val="id-ID"/>
        </w:rPr>
        <w:fldChar w:fldCharType="end"/>
      </w:r>
      <w:r w:rsidRPr="00341019">
        <w:rPr>
          <w:noProof/>
          <w:szCs w:val="24"/>
          <w:lang w:val="id-ID"/>
        </w:rPr>
        <w:t xml:space="preserve"> When carrying out strategic management activities, we will first process the inputs obtained by evaluating the organization's vision, mission, goals, and objectives, as well as analyzing the internal environment to determine the organization's strengths and weaknesses and external analysis of the organization to identify opportunities and threats. organization. Through input processing, an organization will be able to formulate its mission and goals of the organization.</w:t>
      </w:r>
    </w:p>
    <w:p w14:paraId="142E751B" w14:textId="77777777" w:rsidR="00341019" w:rsidRPr="00341019" w:rsidRDefault="00341019" w:rsidP="00341019">
      <w:pPr>
        <w:pStyle w:val="ListParagraph"/>
        <w:spacing w:after="120"/>
        <w:ind w:left="0" w:firstLine="357"/>
        <w:jc w:val="both"/>
        <w:rPr>
          <w:noProof/>
          <w:szCs w:val="24"/>
          <w:lang w:val="id-ID"/>
        </w:rPr>
      </w:pPr>
      <w:r w:rsidRPr="00341019">
        <w:rPr>
          <w:noProof/>
          <w:szCs w:val="24"/>
          <w:lang w:val="id-ID"/>
        </w:rPr>
        <w:t>In strategic management, we will see our efforts to understand the organizational environment or strategic situation by conducting a strategic analysis. Then it will arrive at the strategic choices that will be used by the organization which is then implemented.</w:t>
      </w:r>
    </w:p>
    <w:p w14:paraId="554F3F89" w14:textId="77777777" w:rsidR="00341019" w:rsidRPr="00341019" w:rsidRDefault="00341019" w:rsidP="00341019">
      <w:pPr>
        <w:pStyle w:val="ListParagraph"/>
        <w:spacing w:after="120"/>
        <w:ind w:left="0" w:firstLine="357"/>
        <w:jc w:val="both"/>
        <w:rPr>
          <w:noProof/>
          <w:szCs w:val="24"/>
          <w:lang w:val="id-ID"/>
        </w:rPr>
      </w:pPr>
      <w:r w:rsidRPr="00341019">
        <w:rPr>
          <w:noProof/>
          <w:szCs w:val="24"/>
          <w:lang w:val="id-ID"/>
        </w:rPr>
        <w:t>Based on some of the things that have been explained above, the author draws a common thread regarding strategic management, namely, it is a process to produce various strategic decisions and actions that will support the achievement of organizational goals. After that, the organization will then choose an alternative strategy that is considered the best to achieve the goals that have been set.</w:t>
      </w:r>
      <w:bookmarkStart w:id="0" w:name="_Toc100701495"/>
    </w:p>
    <w:p w14:paraId="5C45437C" w14:textId="77777777" w:rsidR="00341019" w:rsidRPr="00341019" w:rsidRDefault="00341019" w:rsidP="00341019">
      <w:pPr>
        <w:spacing w:after="120"/>
        <w:jc w:val="both"/>
        <w:rPr>
          <w:b/>
          <w:iCs/>
          <w:noProof/>
          <w:szCs w:val="24"/>
          <w:lang w:val="id-ID"/>
        </w:rPr>
      </w:pPr>
      <w:r w:rsidRPr="00341019">
        <w:rPr>
          <w:b/>
          <w:iCs/>
          <w:noProof/>
          <w:szCs w:val="24"/>
          <w:lang w:val="id-ID"/>
        </w:rPr>
        <w:t>Cultural Concept</w:t>
      </w:r>
      <w:bookmarkEnd w:id="0"/>
    </w:p>
    <w:p w14:paraId="683AC848" w14:textId="77777777" w:rsidR="00341019" w:rsidRPr="00341019" w:rsidRDefault="00341019" w:rsidP="00341019">
      <w:pPr>
        <w:pStyle w:val="ListParagraph"/>
        <w:spacing w:after="120"/>
        <w:ind w:left="0" w:firstLine="357"/>
        <w:jc w:val="both"/>
        <w:rPr>
          <w:noProof/>
          <w:szCs w:val="24"/>
          <w:lang w:val="id-ID"/>
        </w:rPr>
      </w:pPr>
      <w:r w:rsidRPr="00341019">
        <w:rPr>
          <w:noProof/>
          <w:szCs w:val="24"/>
          <w:lang w:val="id-ID"/>
        </w:rPr>
        <w:t>Now many people like to discuss cultural issues, whether it's the relationship between traditional culture and modern culture, the problem of changing cultural values, and also the problem of cultural preservation to the promotion of culture. The question arises, how exactly is culture, what is included in the concept of culture, and how does it form?</w:t>
      </w:r>
    </w:p>
    <w:p w14:paraId="32226300" w14:textId="4C4AFDE1" w:rsidR="00341019" w:rsidRPr="00341019" w:rsidRDefault="009C4955" w:rsidP="00341019">
      <w:pPr>
        <w:spacing w:after="120"/>
        <w:ind w:left="426" w:hanging="69"/>
        <w:jc w:val="both"/>
        <w:rPr>
          <w:noProof/>
          <w:szCs w:val="24"/>
          <w:lang w:val="id-ID"/>
        </w:rPr>
      </w:pPr>
      <w:r>
        <w:rPr>
          <w:noProof/>
          <w:szCs w:val="24"/>
        </w:rPr>
        <w:t>“</w:t>
      </w:r>
      <w:r w:rsidR="00341019" w:rsidRPr="00341019">
        <w:rPr>
          <w:noProof/>
          <w:szCs w:val="24"/>
          <w:lang w:val="id-ID"/>
        </w:rPr>
        <w:t>Culture with the basic word culture comes from buddha 'which is the plural of buddhi which means mind or reason, thus culture is defined as matters relating to reason and mind. This means that the whole of human ideas and works, must be familiarized with learning, along with the results of the whole mind and work, in other words, culture is the whole system of ideas, actions, and results of human work in the context of community life which is made the property of humans by learning</w:t>
      </w:r>
      <w:r>
        <w:rPr>
          <w:noProof/>
          <w:szCs w:val="24"/>
        </w:rPr>
        <w:t>”</w:t>
      </w:r>
      <w:r w:rsidR="00341019" w:rsidRPr="00341019">
        <w:rPr>
          <w:noProof/>
          <w:szCs w:val="24"/>
          <w:lang w:val="id-ID"/>
        </w:rPr>
        <w:t xml:space="preserve"> </w:t>
      </w:r>
      <w:r w:rsidR="00341019"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{"citationItems":[{"id":"ITEM-1","itemData":{"author":[{"dropping-particle":"","family":"Koentjaraningrat","given":"","non-dropping-particle":"","parse-names":false,"suffix":""}],"id":"ITEM-1","issued":{"date-parts":[["2000"]]},"publisher":"PT. Gramedia Pusaka Utama","publisher-place":"Jakarta","title":"Kebudayan Mentalitas dan Pembangunan","type":"book"},"locator":"77-78","uris":["http://www.mendeley.com/documents/?uuid=9a93821f-8529-4349-9dac-f6f236559aa0","http://www.mendeley.com/documents/?uuid=062921f9-b7be-4209-b2a5-610213723a1b","http://www.mendeley.com/documents/?uuid=166d8536-9b17-4b08-90eb-6947957cce21"]}],"mendeley":{"formattedCitation":"(Koentjaraningrat, 2000, pp. 77–78)","plainTextFormattedCitation":"(Koentjaraningrat, 2000, pp. 77–78)","previouslyFormattedCitation":"(Koentjaraningrat, 2000, pp. 77–78)"},"properties":{"noteIndex":0},"schema":"https://github.com/citation-style-language/schema/raw/master/csl-citation.json"}</w:instrText>
      </w:r>
      <w:r w:rsidR="00341019" w:rsidRPr="00341019">
        <w:rPr>
          <w:rStyle w:val="FootnoteReference"/>
          <w:noProof/>
          <w:szCs w:val="24"/>
          <w:lang w:val="id-ID"/>
        </w:rPr>
        <w:fldChar w:fldCharType="separate"/>
      </w:r>
      <w:r w:rsidR="00201E36" w:rsidRPr="00201E36">
        <w:rPr>
          <w:bCs/>
          <w:noProof/>
          <w:szCs w:val="24"/>
        </w:rPr>
        <w:t>(Koentjaraningrat, 2000, pp. 77–78)</w:t>
      </w:r>
      <w:r w:rsidR="00341019" w:rsidRPr="00341019">
        <w:rPr>
          <w:rStyle w:val="FootnoteReference"/>
          <w:noProof/>
          <w:szCs w:val="24"/>
          <w:lang w:val="id-ID"/>
        </w:rPr>
        <w:fldChar w:fldCharType="end"/>
      </w:r>
      <w:r w:rsidR="00341019" w:rsidRPr="00341019">
        <w:rPr>
          <w:noProof/>
          <w:szCs w:val="24"/>
          <w:lang w:val="id-ID"/>
        </w:rPr>
        <w:t>.</w:t>
      </w:r>
    </w:p>
    <w:p w14:paraId="6C3CBF9A" w14:textId="77777777" w:rsidR="00341019" w:rsidRPr="00341019" w:rsidRDefault="00341019" w:rsidP="00341019">
      <w:pPr>
        <w:shd w:val="clear" w:color="auto" w:fill="FFFFFF" w:themeFill="background1"/>
        <w:spacing w:after="120"/>
        <w:ind w:firstLine="357"/>
        <w:jc w:val="both"/>
        <w:rPr>
          <w:noProof/>
          <w:szCs w:val="24"/>
          <w:lang w:val="id-ID"/>
        </w:rPr>
      </w:pPr>
      <w:r w:rsidRPr="00341019">
        <w:rPr>
          <w:noProof/>
          <w:szCs w:val="24"/>
          <w:lang w:val="id-ID"/>
        </w:rPr>
        <w:t>Culture is also defined as the behavior, belief patterns, and all products (which are the result of interactions between human groups and their environment) of certain human groups that are passed down from previous generations and passed on to the next generation.</w:t>
      </w:r>
    </w:p>
    <w:p w14:paraId="718F7785" w14:textId="77777777" w:rsidR="00341019" w:rsidRDefault="00341019" w:rsidP="00341019">
      <w:pPr>
        <w:shd w:val="clear" w:color="auto" w:fill="FFFFFF" w:themeFill="background1"/>
        <w:spacing w:after="120"/>
        <w:ind w:firstLine="357"/>
        <w:jc w:val="both"/>
        <w:rPr>
          <w:noProof/>
          <w:szCs w:val="24"/>
          <w:lang w:val="id-ID"/>
        </w:rPr>
      </w:pPr>
      <w:r w:rsidRPr="00341019">
        <w:rPr>
          <w:noProof/>
          <w:szCs w:val="24"/>
          <w:lang w:val="id-ID"/>
        </w:rPr>
        <w:t>Law Number 05 of 2017 article 1 paragraph 1 concerning the promotion of Culture, defines culture as "the entire idea, behavior, and work of humans and/or human groups developed through a learning process and adaptation to the environment that serves as a guide for social life, nation, and state".</w:t>
      </w:r>
    </w:p>
    <w:p w14:paraId="0A9AE8FD" w14:textId="2F6EA433" w:rsidR="009C4955" w:rsidRPr="00341019" w:rsidRDefault="009C4955" w:rsidP="00341019">
      <w:pPr>
        <w:shd w:val="clear" w:color="auto" w:fill="FFFFFF" w:themeFill="background1"/>
        <w:spacing w:after="120"/>
        <w:ind w:firstLine="357"/>
        <w:jc w:val="both"/>
        <w:rPr>
          <w:noProof/>
          <w:szCs w:val="24"/>
          <w:lang w:val="id-ID"/>
        </w:rPr>
      </w:pPr>
      <w:r w:rsidRPr="009C4955">
        <w:rPr>
          <w:noProof/>
          <w:szCs w:val="24"/>
          <w:lang w:val="id-ID"/>
        </w:rPr>
        <w:t xml:space="preserve">According to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Sumardjo","given":"Jakob","non-dropping-particle":"","parse-names":false,"suffix":""}],"id":"ITEM-1","issued":{"date-parts":[["2000"]]},"publisher":"ITB","publisher-place":"Bandung","title":"Filsafat Seni","type":"book"},"locator":"2","uris":["http://www.mendeley.com/documents/?uuid=c9d6bfa9-ecc8-4ebd-b2e1-ec0be2219ae7","http://www.mendeley.com/documents/?uuid=f4354bc5-d2ac-46e8-b4c2-e08e80f76d48","http://www.mendeley.com/documents/?uuid=3f5144d9-3577-4f10-918a-0682cd840510"]}],"mendeley":{"formattedCitation":"(Sumardjo, 2000, p. 2)","manualFormatting":"Sumardjo (2000, p. 2)","plainTextFormattedCitation":"(Sumardjo, 2000, p. 2)","previouslyFormattedCitation":"(Sumardjo, 2000, p. 2)"},"properties":{"noteIndex":0},"schema":"https://github.com/citation-style-language/schema/raw/master/csl-citation.json"}</w:instrText>
      </w:r>
      <w:r w:rsidRPr="00341019">
        <w:rPr>
          <w:rStyle w:val="FootnoteReference"/>
          <w:noProof/>
          <w:szCs w:val="24"/>
          <w:lang w:val="id-ID"/>
        </w:rPr>
        <w:fldChar w:fldCharType="separate"/>
      </w:r>
      <w:r w:rsidRPr="00201E36">
        <w:rPr>
          <w:bCs/>
          <w:noProof/>
          <w:szCs w:val="24"/>
        </w:rPr>
        <w:t>Sumardjo</w:t>
      </w:r>
      <w:r>
        <w:rPr>
          <w:bCs/>
          <w:noProof/>
          <w:szCs w:val="24"/>
        </w:rPr>
        <w:t xml:space="preserve"> (</w:t>
      </w:r>
      <w:r w:rsidRPr="00201E36">
        <w:rPr>
          <w:bCs/>
          <w:noProof/>
          <w:szCs w:val="24"/>
        </w:rPr>
        <w:t>2000, p. 2)</w:t>
      </w:r>
      <w:r w:rsidRPr="00341019">
        <w:rPr>
          <w:rStyle w:val="FootnoteReference"/>
          <w:noProof/>
          <w:szCs w:val="24"/>
          <w:lang w:val="id-ID"/>
        </w:rPr>
        <w:fldChar w:fldCharType="end"/>
      </w:r>
      <w:r w:rsidRPr="009C4955">
        <w:rPr>
          <w:noProof/>
          <w:szCs w:val="24"/>
          <w:lang w:val="id-ID"/>
        </w:rPr>
        <w:t>, culture can be classified into two types: tangible and intangible. Tangible culture pertains to visible cultural products such as artifacts, agricultural tools, weapons, musical instruments, and others. On the other hand, intangible culture encompasses cultural practices and beliefs that are not visible and are stored in people's minds. Examples of intangible culture include farming procedures, ceremonies, rituals, and the like.</w:t>
      </w:r>
    </w:p>
    <w:p w14:paraId="352A393D" w14:textId="7486042D" w:rsidR="00341019" w:rsidRPr="009C4955" w:rsidRDefault="00341019" w:rsidP="00341019">
      <w:pPr>
        <w:shd w:val="clear" w:color="auto" w:fill="FFFFFF" w:themeFill="background1"/>
        <w:spacing w:after="120"/>
        <w:ind w:firstLine="357"/>
        <w:jc w:val="both"/>
        <w:rPr>
          <w:noProof/>
          <w:szCs w:val="24"/>
        </w:rPr>
      </w:pPr>
      <w:r w:rsidRPr="00341019">
        <w:rPr>
          <w:noProof/>
          <w:szCs w:val="24"/>
          <w:lang w:val="id-ID"/>
        </w:rPr>
        <w:lastRenderedPageBreak/>
        <w:t xml:space="preserve">Elements of universal culture are elements that can certainly be found in all cultures in the world. According to Koentjacaraningrat, culture has universal elements, the elements of universal culture are: </w:t>
      </w:r>
      <w:r w:rsidR="009C4955">
        <w:rPr>
          <w:noProof/>
          <w:szCs w:val="24"/>
        </w:rPr>
        <w:t>“</w:t>
      </w:r>
      <w:r w:rsidRPr="00341019">
        <w:rPr>
          <w:noProof/>
          <w:szCs w:val="24"/>
          <w:lang w:val="id-ID"/>
        </w:rPr>
        <w:t>a) Religious systems and religious ceremonies, b) Social systems and organizations, c) Knowledge systems, d) Language, e) Arts, f) livelihood systems life, g) Technology systems and equipment</w:t>
      </w:r>
      <w:r w:rsidR="009C4955">
        <w:rPr>
          <w:noProof/>
          <w:szCs w:val="24"/>
        </w:rPr>
        <w:t>”</w:t>
      </w:r>
      <w:r w:rsidRPr="00341019">
        <w:rPr>
          <w:noProof/>
          <w:szCs w:val="24"/>
          <w:lang w:val="id-ID"/>
        </w:rPr>
        <w:t xml:space="preserve"> </w:t>
      </w:r>
      <w:r w:rsidRPr="00341019">
        <w:rPr>
          <w:rStyle w:val="FootnoteReference"/>
          <w:noProof/>
          <w:szCs w:val="24"/>
          <w:lang w:val="id-ID"/>
        </w:rPr>
        <w:fldChar w:fldCharType="begin" w:fldLock="1"/>
      </w:r>
      <w:r w:rsidR="00201E36">
        <w:rPr>
          <w:noProof/>
          <w:szCs w:val="24"/>
          <w:lang w:val="id-ID"/>
        </w:rPr>
        <w:instrText>ADDIN CSL_CITATION {"citationItems":[{"id":"ITEM-1","itemData":{"author":[{"dropping-particle":"","family":"Koentjaraningrat","given":"","non-dropping-particle":"","parse-names":false,"suffix":""}],"id":"ITEM-1","issued":{"date-parts":[["2000"]]},"publisher":"PT. Gramedia Pusaka Utama","publisher-place":"Jakarta","title":"Kebudayan Mentalitas dan Pembangunan","type":"book"},"uris":["http://www.mendeley.com/documents/?uuid=166d8536-9b17-4b08-90eb-6947957cce21","http://www.mendeley.com/documents/?uuid=062921f9-b7be-4209-b2a5-610213723a1b","http://www.mendeley.com/documents/?uuid=9a93821f-8529-4349-9dac-f6f236559aa0"]}],"mendeley":{"formattedCitation":"(Koentjaraningrat, 2000)","plainTextFormattedCitation":"(Koentjaraningrat, 2000)","previouslyFormattedCitation":"(Koentjaraningrat, 2000)"},"properties":{"noteIndex":0},"schema":"https://github.com/citation-style-language/schema/raw/master/csl-citation.json"}</w:instrText>
      </w:r>
      <w:r w:rsidRPr="00341019">
        <w:rPr>
          <w:rStyle w:val="FootnoteReference"/>
          <w:noProof/>
          <w:szCs w:val="24"/>
          <w:lang w:val="id-ID"/>
        </w:rPr>
        <w:fldChar w:fldCharType="separate"/>
      </w:r>
      <w:r w:rsidRPr="00341019">
        <w:rPr>
          <w:bCs/>
          <w:noProof/>
          <w:szCs w:val="24"/>
        </w:rPr>
        <w:t>(Koentjaraningrat, 2000)</w:t>
      </w:r>
      <w:r w:rsidRPr="00341019">
        <w:rPr>
          <w:rStyle w:val="FootnoteReference"/>
          <w:noProof/>
          <w:szCs w:val="24"/>
          <w:lang w:val="id-ID"/>
        </w:rPr>
        <w:fldChar w:fldCharType="end"/>
      </w:r>
      <w:r w:rsidR="009C4955">
        <w:rPr>
          <w:noProof/>
          <w:szCs w:val="24"/>
        </w:rPr>
        <w:t>.</w:t>
      </w:r>
    </w:p>
    <w:p w14:paraId="2FE2B03A" w14:textId="77777777" w:rsidR="00341019" w:rsidRPr="00341019" w:rsidRDefault="00341019" w:rsidP="00341019">
      <w:pPr>
        <w:pStyle w:val="Heading3"/>
        <w:numPr>
          <w:ilvl w:val="0"/>
          <w:numId w:val="10"/>
        </w:numPr>
        <w:tabs>
          <w:tab w:val="num" w:pos="360"/>
        </w:tabs>
        <w:spacing w:before="0" w:after="120"/>
        <w:ind w:left="284" w:hanging="284"/>
        <w:rPr>
          <w:rFonts w:ascii="Times New Roman" w:hAnsi="Times New Roman" w:cs="Times New Roman"/>
          <w:b w:val="0"/>
          <w:iCs/>
          <w:noProof/>
          <w:color w:val="auto"/>
          <w:szCs w:val="24"/>
          <w:lang w:val="id-ID"/>
        </w:rPr>
      </w:pPr>
      <w:bookmarkStart w:id="1" w:name="_Toc100343313"/>
      <w:bookmarkStart w:id="2" w:name="_Toc100701498"/>
      <w:r w:rsidRPr="00341019">
        <w:rPr>
          <w:rFonts w:ascii="Times New Roman" w:hAnsi="Times New Roman" w:cs="Times New Roman"/>
          <w:iCs/>
          <w:noProof/>
          <w:color w:val="auto"/>
          <w:szCs w:val="24"/>
          <w:lang w:val="id-ID"/>
        </w:rPr>
        <w:t>Cultural Preservation</w:t>
      </w:r>
      <w:bookmarkEnd w:id="1"/>
      <w:bookmarkEnd w:id="2"/>
    </w:p>
    <w:p w14:paraId="268F7D75" w14:textId="77777777" w:rsidR="00341019" w:rsidRPr="00341019" w:rsidRDefault="00341019" w:rsidP="00341019">
      <w:pPr>
        <w:pStyle w:val="ListParagraph"/>
        <w:spacing w:after="120"/>
        <w:ind w:left="0" w:firstLine="357"/>
        <w:jc w:val="both"/>
        <w:rPr>
          <w:noProof/>
          <w:szCs w:val="24"/>
          <w:lang w:val="id-ID"/>
        </w:rPr>
      </w:pPr>
      <w:r w:rsidRPr="00341019">
        <w:rPr>
          <w:noProof/>
          <w:szCs w:val="24"/>
          <w:lang w:val="id-ID"/>
        </w:rPr>
        <w:t>According to the Big Indonesian Dictionary (KBBI) Preservation comes from the word sustainable, which means to make (let) remain unchanged, let remain as it was, and maintain continuity. Then, in Indonesian rules, the use of the prefix -an and the suffix -an means that it is used to describe a process or effort (verb). then what is meant by preservation is an effort or process to make something remain as it is.</w:t>
      </w:r>
    </w:p>
    <w:p w14:paraId="3B6EB12F" w14:textId="3609AC1F" w:rsidR="009C4955" w:rsidRPr="00341019" w:rsidRDefault="009C4955" w:rsidP="00341019">
      <w:pPr>
        <w:pStyle w:val="ListParagraph"/>
        <w:spacing w:after="120"/>
        <w:ind w:left="0" w:firstLine="357"/>
        <w:jc w:val="both"/>
        <w:rPr>
          <w:noProof/>
          <w:szCs w:val="24"/>
          <w:lang w:val="id-ID"/>
        </w:rPr>
      </w:pPr>
      <w:r w:rsidRPr="009C4955">
        <w:rPr>
          <w:noProof/>
          <w:szCs w:val="24"/>
          <w:lang w:val="id-ID"/>
        </w:rPr>
        <w:t xml:space="preserve">According to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{"citationItems":[{"id":"ITEM-1","itemData":{"author":[{"dropping-particle":"","family":"Wijaya","given":"A. W.","non-dropping-particle":"","parse-names":false,"suffix":""}],"id":"ITEM-1","issued":{"date-parts":[["2006"]]},"publisher":"Akademika Persindo","publisher-place":"Jakarta","title":"Individu, Keluarga dan Masyarakat","type":"book"},"locator":"23","uris":["http://www.mendeley.com/documents/?uuid=ac58cfb4-a5bc-492b-9607-e551bb2ec625","http://www.mendeley.com/documents/?uuid=b19cefa4-0d8d-4224-8c3a-ca36e4e9014e","http://www.mendeley.com/documents/?uuid=ef8d2a66-ca58-48aa-82e3-40f21cbca52a"]}],"mendeley":{"formattedCitation":"(Wijaya, 2006, p. 23)","manualFormatting":"Wijaya (2006, p. 23)","plainTextFormattedCitation":"(Wijaya, 2006, p. 23)","previouslyFormattedCitation":"(Wijaya, 2006, p. 23)"},"properties":{"noteIndex":0},"schema":"https://github.com/citation-style-language/schema/raw/master/csl-citation.json"}</w:instrText>
      </w:r>
      <w:r w:rsidRPr="00341019">
        <w:rPr>
          <w:rStyle w:val="FootnoteReference"/>
          <w:noProof/>
          <w:szCs w:val="24"/>
          <w:lang w:val="id-ID"/>
        </w:rPr>
        <w:fldChar w:fldCharType="separate"/>
      </w:r>
      <w:r w:rsidRPr="00201E36">
        <w:rPr>
          <w:bCs/>
          <w:noProof/>
          <w:szCs w:val="24"/>
        </w:rPr>
        <w:t>Wijaya</w:t>
      </w:r>
      <w:r>
        <w:rPr>
          <w:bCs/>
          <w:noProof/>
          <w:szCs w:val="24"/>
        </w:rPr>
        <w:t xml:space="preserve"> (</w:t>
      </w:r>
      <w:r w:rsidRPr="00201E36">
        <w:rPr>
          <w:bCs/>
          <w:noProof/>
          <w:szCs w:val="24"/>
        </w:rPr>
        <w:t>2006, p. 23)</w:t>
      </w:r>
      <w:r w:rsidRPr="00341019">
        <w:rPr>
          <w:rStyle w:val="FootnoteReference"/>
          <w:noProof/>
          <w:szCs w:val="24"/>
          <w:lang w:val="id-ID"/>
        </w:rPr>
        <w:fldChar w:fldCharType="end"/>
      </w:r>
      <w:r w:rsidRPr="009C4955">
        <w:rPr>
          <w:noProof/>
          <w:szCs w:val="24"/>
          <w:lang w:val="id-ID"/>
        </w:rPr>
        <w:t>, conservation is a continuous, directed, and integrated activity aimed at achieving specific goals that reflect the existence of something permanent and dynamic, flexible, and selective. Preservation, on the other hand, involves maintaining artistic and cultural values, as well as traditional values, by adapting to changing and evolving situations and conditions. Preservation does not mean being rigid and undeveloped; rather, it is an effort to protect, develop, and utilize cultural objects and cultural heritage.</w:t>
      </w:r>
    </w:p>
    <w:p w14:paraId="592E510B" w14:textId="77777777" w:rsidR="00341019" w:rsidRPr="00341019" w:rsidRDefault="00341019" w:rsidP="00341019">
      <w:pPr>
        <w:pStyle w:val="ListParagraph"/>
        <w:spacing w:after="120"/>
        <w:ind w:left="0" w:firstLine="357"/>
        <w:jc w:val="both"/>
        <w:rPr>
          <w:noProof/>
          <w:szCs w:val="24"/>
          <w:lang w:val="id-ID"/>
        </w:rPr>
      </w:pPr>
    </w:p>
    <w:p w14:paraId="60E8009D" w14:textId="7D8C7F22" w:rsidR="00341019" w:rsidRPr="00341019" w:rsidRDefault="00341019" w:rsidP="00341019">
      <w:pPr>
        <w:pStyle w:val="ListParagraph"/>
        <w:spacing w:after="120"/>
        <w:ind w:left="284"/>
        <w:jc w:val="both"/>
        <w:rPr>
          <w:noProof/>
          <w:szCs w:val="24"/>
          <w:lang w:val="id-ID"/>
        </w:rPr>
      </w:pPr>
      <w:r w:rsidRPr="00341019">
        <w:rPr>
          <w:noProof/>
          <w:szCs w:val="24"/>
          <w:lang w:val="id-ID"/>
        </w:rPr>
        <w:t xml:space="preserve">“Preservation is an effort that is based on, and this basis is also called the factors that support it both from within and from outside the thing being conserved. Therefore, a process or conservation action recognizes strategies or techniques based on individual needs and conditions.” </w:t>
      </w:r>
      <w:r w:rsidRPr="00341019">
        <w:rPr>
          <w:rStyle w:val="FootnoteReference"/>
          <w:noProof/>
          <w:szCs w:val="24"/>
          <w:lang w:val="id-ID"/>
        </w:rPr>
        <w:fldChar w:fldCharType="begin" w:fldLock="1"/>
      </w:r>
      <w:r w:rsidR="007E594D">
        <w:rPr>
          <w:noProof/>
          <w:szCs w:val="24"/>
          <w:lang w:val="id-ID"/>
        </w:rPr>
        <w:instrText>ADDIN CSL_CITATION {"citationItems":[{"id":"ITEM-1","itemData":{"author":[{"dropping-particle":"","family":"Alwasilah","given":"Prof. A. Chaedar","non-dropping-particle":"","parse-names":false,"suffix":""}],"id":"ITEM-1","issued":{"date-parts":[["2006"]]},"publisher":"Karawitan","publisher-place":"Bandung","title":"Pokoknya Sunda","type":"book"},"locator":"56","uris":["http://www.mendeley.com/documents/?uuid=e0481eb2-f5d5-493b-bcaf-3ad4486e93ab","http://www.mendeley.com/documents/?uuid=1c21bb6a-92bf-4b7c-8876-b4382ff06a86","http://www.mendeley.com/documents/?uuid=0a865dbf-2fad-4d83-8ce1-336d0d80ac41"]}],"mendeley":{"formattedCitation":"(Alwasilah, 2006, p. 56)","plainTextFormattedCitation":"(Alwasilah, 2006, p. 56)","previouslyFormattedCitation":"(Alwasilah, 2006, p. 56)"},"properties":{"noteIndex":0},"schema":"https://github.com/citation-style-language/schema/raw/master/csl-citation.json"}</w:instrText>
      </w:r>
      <w:r w:rsidRPr="00341019">
        <w:rPr>
          <w:rStyle w:val="FootnoteReference"/>
          <w:noProof/>
          <w:szCs w:val="24"/>
          <w:lang w:val="id-ID"/>
        </w:rPr>
        <w:fldChar w:fldCharType="separate"/>
      </w:r>
      <w:r w:rsidR="00201E36" w:rsidRPr="00201E36">
        <w:rPr>
          <w:bCs/>
          <w:noProof/>
          <w:szCs w:val="24"/>
        </w:rPr>
        <w:t>(Alwasilah, 2006, p. 56)</w:t>
      </w:r>
      <w:r w:rsidRPr="00341019">
        <w:rPr>
          <w:rStyle w:val="FootnoteReference"/>
          <w:noProof/>
          <w:szCs w:val="24"/>
          <w:lang w:val="id-ID"/>
        </w:rPr>
        <w:fldChar w:fldCharType="end"/>
      </w:r>
    </w:p>
    <w:p w14:paraId="3F6C7D46" w14:textId="77777777" w:rsidR="00341019" w:rsidRPr="00341019" w:rsidRDefault="00341019" w:rsidP="00341019">
      <w:pPr>
        <w:pStyle w:val="ListParagraph"/>
        <w:spacing w:after="120"/>
        <w:ind w:left="0" w:firstLine="357"/>
        <w:jc w:val="both"/>
        <w:rPr>
          <w:noProof/>
          <w:szCs w:val="24"/>
          <w:lang w:val="id-ID"/>
        </w:rPr>
      </w:pPr>
    </w:p>
    <w:p w14:paraId="400EB208" w14:textId="446A842F" w:rsidR="00341019" w:rsidRPr="000221FD" w:rsidRDefault="00341019" w:rsidP="00341019">
      <w:pPr>
        <w:pStyle w:val="ListParagraph"/>
        <w:spacing w:after="120"/>
        <w:ind w:left="0" w:firstLine="357"/>
        <w:jc w:val="both"/>
        <w:rPr>
          <w:noProof/>
          <w:szCs w:val="24"/>
        </w:rPr>
      </w:pPr>
      <w:r w:rsidRPr="00341019">
        <w:rPr>
          <w:noProof/>
          <w:szCs w:val="24"/>
          <w:lang w:val="id-ID"/>
        </w:rPr>
        <w:t xml:space="preserve">One of the objectives of holding cultural preservation is also to revitalize culture (strengthening). About cultural revitalization </w:t>
      </w:r>
      <w:sdt>
        <w:sdtPr>
          <w:rPr>
            <w:noProof/>
            <w:szCs w:val="24"/>
            <w:lang w:val="id-ID"/>
          </w:rPr>
          <w:id w:val="-141897017"/>
          <w:citation/>
        </w:sdtPr>
        <w:sdtContent>
          <w:r w:rsidRPr="00341019">
            <w:rPr>
              <w:noProof/>
              <w:szCs w:val="24"/>
              <w:lang w:val="id-ID"/>
            </w:rPr>
            <w:fldChar w:fldCharType="begin"/>
          </w:r>
          <w:r w:rsidRPr="00341019">
            <w:rPr>
              <w:noProof/>
              <w:szCs w:val="24"/>
              <w:lang w:val="id-ID"/>
            </w:rPr>
            <w:instrText xml:space="preserve">CITATION Pro06 \l 1033 </w:instrText>
          </w:r>
          <w:r w:rsidRPr="00341019">
            <w:rPr>
              <w:noProof/>
              <w:szCs w:val="24"/>
              <w:lang w:val="id-ID"/>
            </w:rPr>
            <w:fldChar w:fldCharType="separate"/>
          </w:r>
          <w:r w:rsidRPr="00341019">
            <w:rPr>
              <w:noProof/>
              <w:szCs w:val="24"/>
              <w:lang w:val="id-ID"/>
            </w:rPr>
            <w:t>(Alwasilah 2006:56)</w:t>
          </w:r>
          <w:r w:rsidRPr="00341019">
            <w:rPr>
              <w:noProof/>
              <w:szCs w:val="24"/>
              <w:lang w:val="id-ID"/>
            </w:rPr>
            <w:fldChar w:fldCharType="end"/>
          </w:r>
        </w:sdtContent>
      </w:sdt>
      <w:r w:rsidRPr="00341019">
        <w:rPr>
          <w:noProof/>
          <w:szCs w:val="24"/>
          <w:lang w:val="id-ID"/>
        </w:rPr>
        <w:t xml:space="preserve"> said that there are three steps, namely: </w:t>
      </w:r>
      <w:r w:rsidR="000221FD">
        <w:rPr>
          <w:noProof/>
          <w:szCs w:val="24"/>
        </w:rPr>
        <w:t>“</w:t>
      </w:r>
      <w:r w:rsidRPr="00341019">
        <w:rPr>
          <w:noProof/>
          <w:szCs w:val="24"/>
          <w:lang w:val="id-ID"/>
        </w:rPr>
        <w:t>(1) understanding to raise awareness, (2) collective planning, and (2) generating cultural creativity.</w:t>
      </w:r>
      <w:r w:rsidR="000221FD">
        <w:rPr>
          <w:noProof/>
          <w:szCs w:val="24"/>
        </w:rPr>
        <w:t>”</w:t>
      </w:r>
    </w:p>
    <w:p w14:paraId="0ED0C150" w14:textId="3AF0A041" w:rsidR="00341019" w:rsidRPr="00341019" w:rsidRDefault="000221FD" w:rsidP="00341019">
      <w:pPr>
        <w:pStyle w:val="ListParagraph"/>
        <w:spacing w:after="120"/>
        <w:ind w:left="0" w:firstLine="357"/>
        <w:jc w:val="both"/>
        <w:rPr>
          <w:noProof/>
          <w:szCs w:val="24"/>
          <w:lang w:val="id-ID"/>
        </w:rPr>
      </w:pPr>
      <w:r w:rsidRPr="000221FD">
        <w:rPr>
          <w:noProof/>
          <w:szCs w:val="24"/>
          <w:lang w:val="id-ID"/>
        </w:rPr>
        <w:t>Effective preservation can only be achieved when the object being conserved is still in use and continues to exist. The same is true for culture, as a culture will disappear if it is no longer in use. When tools are no longer utilized by the community, they will eventually vanish. Therefore, the preservation of a culture requires that there is still a form of culture that exists and is recognized, even if it is eroded or forgotten as it develops</w:t>
      </w:r>
      <w:r w:rsidR="00341019" w:rsidRPr="00341019">
        <w:rPr>
          <w:noProof/>
          <w:szCs w:val="24"/>
          <w:lang w:val="id-ID"/>
        </w:rPr>
        <w:t>.</w:t>
      </w:r>
      <w:bookmarkStart w:id="3" w:name="_Toc100701499"/>
    </w:p>
    <w:p w14:paraId="7994DCD2" w14:textId="77777777" w:rsidR="00341019" w:rsidRPr="00341019" w:rsidRDefault="00341019" w:rsidP="00341019">
      <w:pPr>
        <w:pStyle w:val="ListParagraph"/>
        <w:spacing w:after="120"/>
        <w:ind w:left="0" w:firstLine="357"/>
        <w:jc w:val="both"/>
        <w:rPr>
          <w:noProof/>
          <w:szCs w:val="24"/>
          <w:lang w:val="id-ID"/>
        </w:rPr>
      </w:pPr>
    </w:p>
    <w:p w14:paraId="5EE85E6C" w14:textId="77777777" w:rsidR="00341019" w:rsidRPr="00341019" w:rsidRDefault="00341019" w:rsidP="00341019">
      <w:pPr>
        <w:pStyle w:val="ListParagraph"/>
        <w:numPr>
          <w:ilvl w:val="0"/>
          <w:numId w:val="10"/>
        </w:numPr>
        <w:shd w:val="clear" w:color="auto" w:fill="FFFFFF" w:themeFill="background1"/>
        <w:spacing w:after="120"/>
        <w:ind w:left="284" w:hanging="284"/>
        <w:jc w:val="both"/>
        <w:rPr>
          <w:b/>
          <w:iCs/>
          <w:noProof/>
          <w:szCs w:val="24"/>
          <w:lang w:val="id-ID"/>
        </w:rPr>
      </w:pPr>
      <w:r w:rsidRPr="00341019">
        <w:rPr>
          <w:b/>
          <w:iCs/>
          <w:noProof/>
          <w:szCs w:val="24"/>
          <w:lang w:val="id-ID"/>
        </w:rPr>
        <w:t>Cultural heritage</w:t>
      </w:r>
      <w:bookmarkStart w:id="4" w:name="_Toc100343315"/>
      <w:bookmarkStart w:id="5" w:name="_Toc100701500"/>
      <w:bookmarkEnd w:id="3"/>
    </w:p>
    <w:bookmarkEnd w:id="4"/>
    <w:bookmarkEnd w:id="5"/>
    <w:p w14:paraId="137B3213" w14:textId="77777777" w:rsidR="00341019" w:rsidRPr="00341019" w:rsidRDefault="00341019" w:rsidP="00341019">
      <w:pPr>
        <w:pStyle w:val="ListParagraph"/>
        <w:shd w:val="clear" w:color="auto" w:fill="FFFFFF" w:themeFill="background1"/>
        <w:spacing w:after="120"/>
        <w:ind w:left="0" w:firstLine="357"/>
        <w:jc w:val="both"/>
        <w:rPr>
          <w:noProof/>
          <w:szCs w:val="24"/>
          <w:lang w:val="id-ID"/>
        </w:rPr>
      </w:pPr>
      <w:r w:rsidRPr="00341019">
        <w:rPr>
          <w:noProof/>
          <w:szCs w:val="24"/>
          <w:lang w:val="id-ID"/>
        </w:rPr>
        <w:t>Cultural heritage is an inseparable part of the culture of the Indonesian nation because cultural heritage is evidence of the long history of Indonesian civilization in the past which spread throughout the archipelago from Sabang to Merauke.</w:t>
      </w:r>
    </w:p>
    <w:p w14:paraId="27855D9F" w14:textId="77777777" w:rsidR="000221FD" w:rsidRDefault="000221FD" w:rsidP="00341019">
      <w:pPr>
        <w:pStyle w:val="ListParagraph"/>
        <w:shd w:val="clear" w:color="auto" w:fill="FFFFFF" w:themeFill="background1"/>
        <w:spacing w:after="120"/>
        <w:ind w:left="0" w:firstLine="357"/>
        <w:jc w:val="both"/>
        <w:rPr>
          <w:noProof/>
          <w:szCs w:val="24"/>
          <w:lang w:val="id-ID"/>
        </w:rPr>
      </w:pPr>
      <w:r w:rsidRPr="000221FD">
        <w:rPr>
          <w:noProof/>
          <w:szCs w:val="24"/>
          <w:lang w:val="id-ID"/>
        </w:rPr>
        <w:t>The concept of cultural conservation is defined in Article 1 Paragraph 1 of Law Number 11 of 2020 as the preservation of cultural heritage, which includes material aspects such as cultural objects, buildings, structures, sites, and areas that hold significant value in history, science, education, religion, and culture. These cultural heritage elements are determined through a process of recognition and require preservation efforts to maintain their importance for future generations.</w:t>
      </w:r>
    </w:p>
    <w:p w14:paraId="4C7B156B" w14:textId="7188C89F" w:rsidR="00341019" w:rsidRPr="00341019" w:rsidRDefault="00341019" w:rsidP="00341019">
      <w:pPr>
        <w:pStyle w:val="ListParagraph"/>
        <w:shd w:val="clear" w:color="auto" w:fill="FFFFFF" w:themeFill="background1"/>
        <w:spacing w:after="120"/>
        <w:ind w:left="0" w:firstLine="357"/>
        <w:jc w:val="both"/>
        <w:rPr>
          <w:noProof/>
          <w:szCs w:val="24"/>
          <w:lang w:val="id-ID"/>
        </w:rPr>
      </w:pPr>
      <w:r w:rsidRPr="00341019">
        <w:rPr>
          <w:noProof/>
          <w:szCs w:val="24"/>
          <w:lang w:val="id-ID"/>
        </w:rPr>
        <w:t xml:space="preserve">Seeing the meaning of Cultural Conservation, it can be understood that </w:t>
      </w:r>
      <w:r w:rsidRPr="00341019">
        <w:rPr>
          <w:noProof/>
          <w:color w:val="000000"/>
          <w:szCs w:val="24"/>
          <w:lang w:val="id-ID"/>
        </w:rPr>
        <w:t>Culture</w:t>
      </w:r>
      <w:r w:rsidRPr="00341019">
        <w:rPr>
          <w:noProof/>
          <w:szCs w:val="24"/>
          <w:lang w:val="id-ID"/>
        </w:rPr>
        <w:t>divided into 5 types, namely:</w:t>
      </w:r>
    </w:p>
    <w:p w14:paraId="28F18729" w14:textId="77777777" w:rsidR="00341019" w:rsidRPr="00341019" w:rsidRDefault="00341019" w:rsidP="00341019">
      <w:pPr>
        <w:pStyle w:val="ListParagraph"/>
        <w:numPr>
          <w:ilvl w:val="0"/>
          <w:numId w:val="8"/>
        </w:numPr>
        <w:autoSpaceDE w:val="0"/>
        <w:autoSpaceDN w:val="0"/>
        <w:adjustRightInd w:val="0"/>
        <w:spacing w:after="120"/>
        <w:ind w:left="709" w:hanging="352"/>
        <w:jc w:val="both"/>
        <w:rPr>
          <w:noProof/>
          <w:szCs w:val="24"/>
          <w:lang w:val="id-ID"/>
        </w:rPr>
      </w:pPr>
      <w:r w:rsidRPr="00341019">
        <w:rPr>
          <w:noProof/>
          <w:szCs w:val="24"/>
          <w:lang w:val="id-ID"/>
        </w:rPr>
        <w:t xml:space="preserve">Cultural Conservation Objects, Cultural Conservation Objects are natural objects and/or man-made objects, both movable and immovable, in the form of a unit or group, or parts </w:t>
      </w:r>
      <w:r w:rsidRPr="00341019">
        <w:rPr>
          <w:noProof/>
          <w:szCs w:val="24"/>
          <w:lang w:val="id-ID"/>
        </w:rPr>
        <w:lastRenderedPageBreak/>
        <w:t>thereof, or the remnants thereof which have a close relationship with culture and the history of human development.</w:t>
      </w:r>
    </w:p>
    <w:p w14:paraId="54DAE8D7" w14:textId="77777777" w:rsidR="00341019" w:rsidRPr="00341019" w:rsidRDefault="00341019" w:rsidP="00341019">
      <w:pPr>
        <w:pStyle w:val="ListParagraph"/>
        <w:numPr>
          <w:ilvl w:val="0"/>
          <w:numId w:val="8"/>
        </w:numPr>
        <w:spacing w:after="120"/>
        <w:ind w:left="709" w:hanging="352"/>
        <w:jc w:val="both"/>
        <w:rPr>
          <w:noProof/>
          <w:szCs w:val="24"/>
          <w:lang w:val="id-ID"/>
        </w:rPr>
      </w:pPr>
      <w:r w:rsidRPr="00341019">
        <w:rPr>
          <w:noProof/>
          <w:szCs w:val="24"/>
          <w:lang w:val="id-ID"/>
        </w:rPr>
        <w:t>Cultural Conservation Buildings, Cultural Conservation Buildings are structures made of natural objects or man-made objects to meet the needs of walled and/or non-walled spaces and have roofs.</w:t>
      </w:r>
    </w:p>
    <w:p w14:paraId="6D235BBE" w14:textId="77777777" w:rsidR="00341019" w:rsidRPr="00341019" w:rsidRDefault="00341019" w:rsidP="00341019">
      <w:pPr>
        <w:pStyle w:val="ListParagraph"/>
        <w:numPr>
          <w:ilvl w:val="0"/>
          <w:numId w:val="8"/>
        </w:numPr>
        <w:spacing w:after="120"/>
        <w:ind w:left="709" w:hanging="352"/>
        <w:jc w:val="both"/>
        <w:rPr>
          <w:noProof/>
          <w:szCs w:val="24"/>
          <w:lang w:val="id-ID"/>
        </w:rPr>
      </w:pPr>
      <w:r w:rsidRPr="00341019">
        <w:rPr>
          <w:noProof/>
          <w:szCs w:val="24"/>
          <w:lang w:val="id-ID"/>
        </w:rPr>
        <w:t>Cultural Conservation Structure, Cultural Conservation Structure is a built structure made of natural objects and/or man-made objects to meet the needs of activity spaces that are integrated with nature, facilities, and infrastructure to accommodate human needs.</w:t>
      </w:r>
    </w:p>
    <w:p w14:paraId="0083677C" w14:textId="77777777" w:rsidR="00341019" w:rsidRPr="00341019" w:rsidRDefault="00341019" w:rsidP="00341019">
      <w:pPr>
        <w:pStyle w:val="ListParagraph"/>
        <w:numPr>
          <w:ilvl w:val="0"/>
          <w:numId w:val="8"/>
        </w:numPr>
        <w:spacing w:after="120"/>
        <w:ind w:left="709" w:hanging="352"/>
        <w:jc w:val="both"/>
        <w:rPr>
          <w:noProof/>
          <w:szCs w:val="24"/>
          <w:lang w:val="id-ID"/>
        </w:rPr>
      </w:pPr>
      <w:r w:rsidRPr="00341019">
        <w:rPr>
          <w:noProof/>
          <w:szCs w:val="24"/>
          <w:lang w:val="id-ID"/>
        </w:rPr>
        <w:t>Cultural Conservation Sites, Cultural Conservation Sites are locations located on land and/or in water containing Cultural Conservation Objects, Cultural Conservation Buildings, and/or Cultural Conservation Structures as a result of human activities or evidence of past events.</w:t>
      </w:r>
    </w:p>
    <w:p w14:paraId="4C25C368" w14:textId="77777777" w:rsidR="00341019" w:rsidRPr="00341019" w:rsidRDefault="00341019" w:rsidP="00341019">
      <w:pPr>
        <w:pStyle w:val="ListParagraph"/>
        <w:numPr>
          <w:ilvl w:val="0"/>
          <w:numId w:val="8"/>
        </w:numPr>
        <w:spacing w:after="120"/>
        <w:ind w:left="709" w:hanging="352"/>
        <w:jc w:val="both"/>
        <w:rPr>
          <w:noProof/>
          <w:szCs w:val="24"/>
          <w:lang w:val="id-ID"/>
        </w:rPr>
      </w:pPr>
      <w:r w:rsidRPr="00341019">
        <w:rPr>
          <w:noProof/>
          <w:szCs w:val="24"/>
          <w:lang w:val="id-ID"/>
        </w:rPr>
        <w:t>Cultural Conservation Area, Cultural Conservation Area is a geographical space unit that has two or more Cultural Conservation Sites which are located close together and/or show distinctive spatial characteristics.</w:t>
      </w:r>
    </w:p>
    <w:p w14:paraId="5FC651EF" w14:textId="77777777" w:rsidR="00341019" w:rsidRPr="00341019" w:rsidRDefault="00341019" w:rsidP="00341019">
      <w:pPr>
        <w:spacing w:after="120"/>
        <w:ind w:firstLine="357"/>
        <w:jc w:val="both"/>
        <w:rPr>
          <w:noProof/>
          <w:szCs w:val="24"/>
          <w:lang w:val="id-ID"/>
        </w:rPr>
      </w:pPr>
      <w:r w:rsidRPr="00341019">
        <w:rPr>
          <w:noProof/>
          <w:color w:val="000000"/>
          <w:szCs w:val="24"/>
          <w:lang w:val="id-ID"/>
        </w:rPr>
        <w:t>Based on Article 1 paragraph 22</w:t>
      </w:r>
      <w:r w:rsidRPr="00341019">
        <w:rPr>
          <w:noProof/>
          <w:szCs w:val="24"/>
          <w:lang w:val="id-ID"/>
        </w:rPr>
        <w:t>Law Number 11 of 2020 concerning Cultural Conservation Preservation is a dynamic effort to</w:t>
      </w:r>
      <w:r w:rsidRPr="00341019">
        <w:rPr>
          <w:noProof/>
          <w:color w:val="000000"/>
          <w:szCs w:val="24"/>
          <w:lang w:val="id-ID"/>
        </w:rPr>
        <w:t xml:space="preserve"> maintain</w:t>
      </w:r>
      <w:r w:rsidRPr="00341019">
        <w:rPr>
          <w:noProof/>
          <w:szCs w:val="24"/>
          <w:lang w:val="id-ID"/>
        </w:rPr>
        <w:t xml:space="preserve"> the existence of Cultural Conservation and its value by protecting, developing, and utilizing it.</w:t>
      </w:r>
    </w:p>
    <w:p w14:paraId="56422B5E" w14:textId="77777777" w:rsidR="00341019" w:rsidRPr="00341019" w:rsidRDefault="00341019" w:rsidP="00341019">
      <w:pPr>
        <w:pStyle w:val="Heading2"/>
        <w:tabs>
          <w:tab w:val="left" w:pos="426"/>
        </w:tabs>
        <w:spacing w:after="120"/>
        <w:jc w:val="both"/>
        <w:rPr>
          <w:iCs/>
          <w:noProof/>
          <w:sz w:val="24"/>
          <w:szCs w:val="24"/>
          <w:lang w:val="id-ID"/>
        </w:rPr>
      </w:pPr>
      <w:bookmarkStart w:id="6" w:name="_Toc100701516"/>
      <w:r w:rsidRPr="00341019">
        <w:rPr>
          <w:iCs/>
          <w:noProof/>
          <w:sz w:val="24"/>
          <w:szCs w:val="24"/>
          <w:lang w:val="id-ID"/>
        </w:rPr>
        <w:t>Strategy for Preserving Culture and Cultural Conservation at the Culture Service of Bone Regency</w:t>
      </w:r>
      <w:bookmarkEnd w:id="6"/>
    </w:p>
    <w:p w14:paraId="4386A46B" w14:textId="77777777" w:rsidR="00341019" w:rsidRPr="00341019" w:rsidRDefault="00341019" w:rsidP="00341019">
      <w:pPr>
        <w:spacing w:after="120"/>
        <w:ind w:firstLine="357"/>
        <w:jc w:val="both"/>
        <w:rPr>
          <w:noProof/>
          <w:color w:val="6D6E76"/>
          <w:szCs w:val="24"/>
          <w:shd w:val="clear" w:color="auto" w:fill="FFFFFF"/>
          <w:lang w:val="id-ID"/>
        </w:rPr>
      </w:pPr>
      <w:r w:rsidRPr="00341019">
        <w:rPr>
          <w:noProof/>
          <w:color w:val="000000" w:themeColor="text1"/>
          <w:szCs w:val="24"/>
          <w:lang w:val="id-ID"/>
        </w:rPr>
        <w:t>At the Indonesian cultural congress (KKI) in 2018, the government together with all stakeholders in the field of culture succeeded in formulating a strategic plan for the advancement of culture for the next 20 years, with the vision that "Indonesia is Happy based on cultural diversity that educates, reconciles and prospers the entire Indonesian people.</w:t>
      </w:r>
      <w:r w:rsidRPr="00341019">
        <w:rPr>
          <w:noProof/>
          <w:color w:val="6D6E76"/>
          <w:szCs w:val="24"/>
          <w:shd w:val="clear" w:color="auto" w:fill="FFFFFF"/>
          <w:lang w:val="id-ID"/>
        </w:rPr>
        <w:t>"</w:t>
      </w:r>
    </w:p>
    <w:p w14:paraId="1F5E6C99" w14:textId="77777777" w:rsidR="00341019" w:rsidRPr="00341019" w:rsidRDefault="00341019" w:rsidP="00341019">
      <w:pPr>
        <w:spacing w:after="120"/>
        <w:ind w:firstLine="357"/>
        <w:jc w:val="both"/>
        <w:rPr>
          <w:noProof/>
          <w:color w:val="6D6E76"/>
          <w:szCs w:val="24"/>
          <w:shd w:val="clear" w:color="auto" w:fill="FFFFFF"/>
          <w:lang w:val="id-ID"/>
        </w:rPr>
      </w:pPr>
      <w:r w:rsidRPr="00341019">
        <w:rPr>
          <w:noProof/>
          <w:color w:val="000000" w:themeColor="text1"/>
          <w:szCs w:val="24"/>
          <w:lang w:val="id-ID"/>
        </w:rPr>
        <w:t>The national cultural strategy contains seven strategic agendas, including:</w:t>
      </w:r>
    </w:p>
    <w:p w14:paraId="0478E741" w14:textId="77777777" w:rsidR="00341019" w:rsidRPr="00341019" w:rsidRDefault="00341019" w:rsidP="00341019">
      <w:pPr>
        <w:pStyle w:val="ListParagraph"/>
        <w:numPr>
          <w:ilvl w:val="0"/>
          <w:numId w:val="9"/>
        </w:numPr>
        <w:spacing w:after="120"/>
        <w:ind w:left="709" w:hanging="352"/>
        <w:jc w:val="both"/>
        <w:rPr>
          <w:rStyle w:val="Strong"/>
          <w:b w:val="0"/>
          <w:bCs w:val="0"/>
          <w:noProof/>
          <w:color w:val="000000" w:themeColor="text1"/>
          <w:szCs w:val="24"/>
          <w:lang w:val="id-ID"/>
        </w:rPr>
      </w:pPr>
      <w:r w:rsidRPr="00341019">
        <w:rPr>
          <w:rStyle w:val="Strong"/>
          <w:b w:val="0"/>
          <w:bCs w:val="0"/>
          <w:noProof/>
          <w:color w:val="000000" w:themeColor="text1"/>
          <w:szCs w:val="24"/>
          <w:shd w:val="clear" w:color="auto" w:fill="FFFFFF"/>
          <w:lang w:val="id-ID"/>
        </w:rPr>
        <w:t>Providing space for diverse cultural expressions and encouraging cultural interaction to strengthen an inclusive culture</w:t>
      </w:r>
    </w:p>
    <w:p w14:paraId="2D4C4889" w14:textId="77777777" w:rsidR="00341019" w:rsidRPr="00341019" w:rsidRDefault="00341019" w:rsidP="00341019">
      <w:pPr>
        <w:pStyle w:val="ListParagraph"/>
        <w:numPr>
          <w:ilvl w:val="0"/>
          <w:numId w:val="9"/>
        </w:numPr>
        <w:spacing w:after="120"/>
        <w:ind w:left="709" w:hanging="352"/>
        <w:jc w:val="both"/>
        <w:rPr>
          <w:rStyle w:val="Strong"/>
          <w:b w:val="0"/>
          <w:bCs w:val="0"/>
          <w:noProof/>
          <w:color w:val="000000" w:themeColor="text1"/>
          <w:szCs w:val="24"/>
          <w:lang w:val="id-ID"/>
        </w:rPr>
      </w:pPr>
      <w:r w:rsidRPr="00341019">
        <w:rPr>
          <w:rStyle w:val="Strong"/>
          <w:b w:val="0"/>
          <w:bCs w:val="0"/>
          <w:noProof/>
          <w:color w:val="000000" w:themeColor="text1"/>
          <w:szCs w:val="24"/>
          <w:shd w:val="clear" w:color="auto" w:fill="FFFFFF"/>
          <w:lang w:val="id-ID"/>
        </w:rPr>
        <w:t>Protect and develop traditional cultural values, expressions, and practices to enrich the national culture</w:t>
      </w:r>
    </w:p>
    <w:p w14:paraId="628771C8" w14:textId="77777777" w:rsidR="00341019" w:rsidRPr="00341019" w:rsidRDefault="00341019" w:rsidP="00341019">
      <w:pPr>
        <w:pStyle w:val="ListParagraph"/>
        <w:numPr>
          <w:ilvl w:val="0"/>
          <w:numId w:val="9"/>
        </w:numPr>
        <w:spacing w:after="120"/>
        <w:ind w:left="709" w:hanging="352"/>
        <w:jc w:val="both"/>
        <w:rPr>
          <w:rStyle w:val="Strong"/>
          <w:b w:val="0"/>
          <w:bCs w:val="0"/>
          <w:noProof/>
          <w:color w:val="000000" w:themeColor="text1"/>
          <w:szCs w:val="24"/>
          <w:lang w:val="id-ID"/>
        </w:rPr>
      </w:pPr>
      <w:r w:rsidRPr="00341019">
        <w:rPr>
          <w:rStyle w:val="Strong"/>
          <w:b w:val="0"/>
          <w:bCs w:val="0"/>
          <w:noProof/>
          <w:color w:val="000000" w:themeColor="text1"/>
          <w:szCs w:val="24"/>
          <w:shd w:val="clear" w:color="auto" w:fill="FFFFFF"/>
          <w:lang w:val="id-ID"/>
        </w:rPr>
        <w:t>Develop and utilize cultural wealth to strengthen Indonesia's position in the international world</w:t>
      </w:r>
    </w:p>
    <w:p w14:paraId="0124E079" w14:textId="77777777" w:rsidR="00341019" w:rsidRPr="00341019" w:rsidRDefault="00341019" w:rsidP="00341019">
      <w:pPr>
        <w:pStyle w:val="ListParagraph"/>
        <w:numPr>
          <w:ilvl w:val="0"/>
          <w:numId w:val="9"/>
        </w:numPr>
        <w:spacing w:after="120"/>
        <w:ind w:left="709" w:hanging="352"/>
        <w:jc w:val="both"/>
        <w:rPr>
          <w:rStyle w:val="Strong"/>
          <w:b w:val="0"/>
          <w:bCs w:val="0"/>
          <w:noProof/>
          <w:color w:val="000000" w:themeColor="text1"/>
          <w:szCs w:val="24"/>
          <w:lang w:val="id-ID"/>
        </w:rPr>
      </w:pPr>
      <w:r w:rsidRPr="00341019">
        <w:rPr>
          <w:rStyle w:val="Strong"/>
          <w:b w:val="0"/>
          <w:bCs w:val="0"/>
          <w:noProof/>
          <w:color w:val="000000" w:themeColor="text1"/>
          <w:szCs w:val="24"/>
          <w:shd w:val="clear" w:color="auto" w:fill="FFFFFF"/>
          <w:lang w:val="id-ID"/>
        </w:rPr>
        <w:t>Utilizing objects of cultural advancement to improve people's welfare</w:t>
      </w:r>
    </w:p>
    <w:p w14:paraId="7EC43B20" w14:textId="77777777" w:rsidR="00341019" w:rsidRPr="00341019" w:rsidRDefault="00341019" w:rsidP="00341019">
      <w:pPr>
        <w:pStyle w:val="ListParagraph"/>
        <w:numPr>
          <w:ilvl w:val="0"/>
          <w:numId w:val="9"/>
        </w:numPr>
        <w:spacing w:after="120"/>
        <w:ind w:left="709" w:hanging="352"/>
        <w:jc w:val="both"/>
        <w:rPr>
          <w:rStyle w:val="Strong"/>
          <w:b w:val="0"/>
          <w:bCs w:val="0"/>
          <w:noProof/>
          <w:color w:val="000000" w:themeColor="text1"/>
          <w:szCs w:val="24"/>
          <w:lang w:val="id-ID"/>
        </w:rPr>
      </w:pPr>
      <w:r w:rsidRPr="00341019">
        <w:rPr>
          <w:rStyle w:val="Strong"/>
          <w:b w:val="0"/>
          <w:bCs w:val="0"/>
          <w:noProof/>
          <w:color w:val="000000" w:themeColor="text1"/>
          <w:szCs w:val="24"/>
          <w:shd w:val="clear" w:color="auto" w:fill="FFFFFF"/>
          <w:lang w:val="id-ID"/>
        </w:rPr>
        <w:t>Promoting cultures that protect biodiversity and strengthen ecosystems</w:t>
      </w:r>
    </w:p>
    <w:p w14:paraId="491D2B2B" w14:textId="77777777" w:rsidR="00341019" w:rsidRPr="00341019" w:rsidRDefault="00341019" w:rsidP="00341019">
      <w:pPr>
        <w:pStyle w:val="ListParagraph"/>
        <w:numPr>
          <w:ilvl w:val="0"/>
          <w:numId w:val="9"/>
        </w:numPr>
        <w:spacing w:after="120"/>
        <w:ind w:left="709" w:hanging="352"/>
        <w:jc w:val="both"/>
        <w:rPr>
          <w:rStyle w:val="Strong"/>
          <w:b w:val="0"/>
          <w:bCs w:val="0"/>
          <w:noProof/>
          <w:color w:val="000000" w:themeColor="text1"/>
          <w:szCs w:val="24"/>
          <w:lang w:val="id-ID"/>
        </w:rPr>
      </w:pPr>
      <w:r w:rsidRPr="00341019">
        <w:rPr>
          <w:rStyle w:val="Strong"/>
          <w:b w:val="0"/>
          <w:bCs w:val="0"/>
          <w:noProof/>
          <w:color w:val="000000" w:themeColor="text1"/>
          <w:szCs w:val="24"/>
          <w:shd w:val="clear" w:color="auto" w:fill="FFFFFF"/>
          <w:lang w:val="id-ID"/>
        </w:rPr>
        <w:t>Institutional reform and cultural budgeting to support the cultural promotion agenda</w:t>
      </w:r>
    </w:p>
    <w:p w14:paraId="7F0DEF41" w14:textId="77777777" w:rsidR="00341019" w:rsidRPr="00341019" w:rsidRDefault="00341019" w:rsidP="00341019">
      <w:pPr>
        <w:pStyle w:val="ListParagraph"/>
        <w:numPr>
          <w:ilvl w:val="0"/>
          <w:numId w:val="9"/>
        </w:numPr>
        <w:spacing w:after="120"/>
        <w:ind w:left="709" w:hanging="352"/>
        <w:jc w:val="both"/>
        <w:rPr>
          <w:b/>
          <w:bCs/>
          <w:noProof/>
          <w:color w:val="000000" w:themeColor="text1"/>
          <w:szCs w:val="24"/>
          <w:lang w:val="id-ID"/>
        </w:rPr>
      </w:pPr>
      <w:r w:rsidRPr="00341019">
        <w:rPr>
          <w:rStyle w:val="Strong"/>
          <w:b w:val="0"/>
          <w:bCs w:val="0"/>
          <w:noProof/>
          <w:color w:val="000000" w:themeColor="text1"/>
          <w:szCs w:val="24"/>
          <w:shd w:val="clear" w:color="auto" w:fill="FFFFFF"/>
          <w:lang w:val="id-ID"/>
        </w:rPr>
        <w:t>Increasing the government's role as a facilitator for the advancement of culture</w:t>
      </w:r>
    </w:p>
    <w:p w14:paraId="54A07A43" w14:textId="77777777" w:rsidR="00341019" w:rsidRPr="00341019" w:rsidRDefault="00341019" w:rsidP="00341019">
      <w:pPr>
        <w:spacing w:after="120"/>
        <w:ind w:firstLine="357"/>
        <w:jc w:val="both"/>
        <w:rPr>
          <w:noProof/>
          <w:color w:val="000000" w:themeColor="text1"/>
          <w:szCs w:val="24"/>
          <w:lang w:val="id-ID"/>
        </w:rPr>
      </w:pPr>
      <w:r w:rsidRPr="00341019">
        <w:rPr>
          <w:noProof/>
          <w:color w:val="000000" w:themeColor="text1"/>
          <w:szCs w:val="24"/>
          <w:lang w:val="id-ID"/>
        </w:rPr>
        <w:t>The vision of a Happy Indonesia would not have been possible without the cooperation of the cultural stakeholders of the entire Indonesian nation. The work to get there will be enormous, involving all policymakers and all stakeholders in the field of cultural promotion. Therefore, the local government and the Culture Service of Bone Regency must be observant and make the issue of cultural preservation a top priority. One of the goals why conservation must be carried out is to revitalize or strengthen the noble values ​​of our culture to realize the vision of a happy Indonesia. Culture is our main identity as the Indonesian nation, the loss or decline of culture is the same as the loss or decline of this nation.</w:t>
      </w:r>
    </w:p>
    <w:p w14:paraId="3582ACD9" w14:textId="2D15C573" w:rsidR="00D73172" w:rsidRPr="00341019" w:rsidRDefault="00341019" w:rsidP="00341019">
      <w:pPr>
        <w:spacing w:after="120"/>
        <w:ind w:firstLine="357"/>
        <w:jc w:val="both"/>
        <w:rPr>
          <w:noProof/>
          <w:szCs w:val="24"/>
          <w:lang w:val="id-ID"/>
        </w:rPr>
      </w:pPr>
      <w:r w:rsidRPr="00341019">
        <w:rPr>
          <w:noProof/>
          <w:color w:val="000000" w:themeColor="text1"/>
          <w:szCs w:val="24"/>
          <w:lang w:val="id-ID"/>
        </w:rPr>
        <w:t xml:space="preserve">Preserving the preservation of regional cultural heritage and regional cultural heritage and increasing national recognition of intangible cultural heritage is one of the objectives of the Bone </w:t>
      </w:r>
      <w:r w:rsidRPr="00341019">
        <w:rPr>
          <w:noProof/>
          <w:color w:val="000000" w:themeColor="text1"/>
          <w:szCs w:val="24"/>
          <w:lang w:val="id-ID"/>
        </w:rPr>
        <w:lastRenderedPageBreak/>
        <w:t>Regency Culture Office and its target is to maintain cultural and cultural preservation, as well as increase national recognition of intangible cultural heritage. These goals and objectives can be achieved if accompanied by the right and effective strategy</w:t>
      </w:r>
      <w:r w:rsidR="00BE7B73" w:rsidRPr="00341019">
        <w:rPr>
          <w:noProof/>
          <w:szCs w:val="24"/>
          <w:lang w:val="id-ID"/>
        </w:rPr>
        <w:t>.</w:t>
      </w:r>
    </w:p>
    <w:p w14:paraId="4D8FE86D" w14:textId="3D3153D5" w:rsidR="00341019" w:rsidRPr="00341019" w:rsidRDefault="00341019" w:rsidP="00341019">
      <w:pPr>
        <w:jc w:val="center"/>
        <w:rPr>
          <w:bCs/>
          <w:iCs/>
          <w:noProof/>
          <w:szCs w:val="24"/>
          <w:lang w:val="id-ID"/>
        </w:rPr>
      </w:pPr>
      <w:r w:rsidRPr="00341019">
        <w:rPr>
          <w:b/>
          <w:bCs/>
          <w:noProof/>
          <w:szCs w:val="24"/>
          <w:lang w:val="id-ID"/>
        </w:rPr>
        <w:t xml:space="preserve">Table </w:t>
      </w:r>
      <w:r w:rsidRPr="00341019">
        <w:rPr>
          <w:b/>
          <w:bCs/>
          <w:noProof/>
          <w:szCs w:val="24"/>
          <w:lang w:val="id-ID"/>
        </w:rPr>
        <w:fldChar w:fldCharType="begin"/>
      </w:r>
      <w:r w:rsidRPr="00341019">
        <w:rPr>
          <w:b/>
          <w:bCs/>
          <w:noProof/>
          <w:szCs w:val="24"/>
          <w:lang w:val="id-ID"/>
        </w:rPr>
        <w:instrText xml:space="preserve"> SEQ Tabel \* ARABIC </w:instrText>
      </w:r>
      <w:r w:rsidRPr="00341019">
        <w:rPr>
          <w:b/>
          <w:bCs/>
          <w:noProof/>
          <w:szCs w:val="24"/>
          <w:lang w:val="id-ID"/>
        </w:rPr>
        <w:fldChar w:fldCharType="separate"/>
      </w:r>
      <w:r w:rsidR="00E02BE2">
        <w:rPr>
          <w:b/>
          <w:bCs/>
          <w:noProof/>
          <w:szCs w:val="24"/>
          <w:lang w:val="id-ID"/>
        </w:rPr>
        <w:t>1</w:t>
      </w:r>
      <w:r w:rsidRPr="00341019">
        <w:rPr>
          <w:b/>
          <w:bCs/>
          <w:noProof/>
          <w:szCs w:val="24"/>
          <w:lang w:val="id-ID"/>
        </w:rPr>
        <w:fldChar w:fldCharType="end"/>
      </w:r>
      <w:r w:rsidRPr="00341019">
        <w:rPr>
          <w:b/>
          <w:bCs/>
          <w:noProof/>
          <w:szCs w:val="24"/>
        </w:rPr>
        <w:t xml:space="preserve">. </w:t>
      </w:r>
      <w:r w:rsidRPr="00B72EDC">
        <w:rPr>
          <w:b/>
          <w:noProof/>
          <w:szCs w:val="24"/>
          <w:lang w:val="id-ID"/>
        </w:rPr>
        <w:t>Alignment of goals, objectives, strategies, and policy directions</w:t>
      </w:r>
    </w:p>
    <w:tbl>
      <w:tblPr>
        <w:tblW w:w="9356" w:type="dxa"/>
        <w:jc w:val="center"/>
        <w:tblLayout w:type="fixed"/>
        <w:tblLook w:val="04A0" w:firstRow="1" w:lastRow="0" w:firstColumn="1" w:lastColumn="0" w:noHBand="0" w:noVBand="1"/>
      </w:tblPr>
      <w:tblGrid>
        <w:gridCol w:w="2126"/>
        <w:gridCol w:w="2269"/>
        <w:gridCol w:w="2409"/>
        <w:gridCol w:w="2552"/>
      </w:tblGrid>
      <w:tr w:rsidR="00341019" w:rsidRPr="00341019" w14:paraId="4333CC34" w14:textId="77777777" w:rsidTr="000221FD">
        <w:trPr>
          <w:trHeight w:val="510"/>
          <w:tblHeader/>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46BAD" w14:textId="451176D5" w:rsidR="00341019" w:rsidRPr="00B72EDC" w:rsidRDefault="000221FD" w:rsidP="00341019">
            <w:pPr>
              <w:jc w:val="center"/>
              <w:rPr>
                <w:b/>
                <w:bCs/>
                <w:noProof/>
                <w:szCs w:val="24"/>
                <w:lang w:val="id-ID" w:eastAsia="en-ID"/>
              </w:rPr>
            </w:pPr>
            <w:r w:rsidRPr="00B72EDC">
              <w:rPr>
                <w:b/>
                <w:bCs/>
                <w:noProof/>
                <w:szCs w:val="24"/>
                <w:lang w:val="id-ID" w:eastAsia="en-ID"/>
              </w:rPr>
              <w:t>Destination</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043389AB" w14:textId="45B2CC50" w:rsidR="00341019" w:rsidRPr="00B72EDC" w:rsidRDefault="000221FD" w:rsidP="00341019">
            <w:pPr>
              <w:jc w:val="center"/>
              <w:rPr>
                <w:b/>
                <w:bCs/>
                <w:noProof/>
                <w:szCs w:val="24"/>
                <w:lang w:val="id-ID" w:eastAsia="en-ID"/>
              </w:rPr>
            </w:pPr>
            <w:r w:rsidRPr="00B72EDC">
              <w:rPr>
                <w:b/>
                <w:bCs/>
                <w:noProof/>
                <w:szCs w:val="24"/>
                <w:lang w:val="id-ID" w:eastAsia="en-ID"/>
              </w:rPr>
              <w:t>Target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83512FA" w14:textId="10E05AA1" w:rsidR="00341019" w:rsidRPr="00B72EDC" w:rsidRDefault="000221FD" w:rsidP="00341019">
            <w:pPr>
              <w:jc w:val="center"/>
              <w:rPr>
                <w:b/>
                <w:bCs/>
                <w:noProof/>
                <w:szCs w:val="24"/>
                <w:lang w:val="id-ID" w:eastAsia="en-ID"/>
              </w:rPr>
            </w:pPr>
            <w:r w:rsidRPr="00B72EDC">
              <w:rPr>
                <w:b/>
                <w:bCs/>
                <w:noProof/>
                <w:szCs w:val="24"/>
                <w:lang w:val="id-ID" w:eastAsia="en-ID"/>
              </w:rPr>
              <w:t>Strategy</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725E0F4" w14:textId="76A2B03A" w:rsidR="00341019" w:rsidRPr="00B72EDC" w:rsidRDefault="00341019" w:rsidP="00341019">
            <w:pPr>
              <w:jc w:val="center"/>
              <w:rPr>
                <w:b/>
                <w:bCs/>
                <w:noProof/>
                <w:szCs w:val="24"/>
                <w:lang w:val="id-ID" w:eastAsia="en-ID"/>
              </w:rPr>
            </w:pPr>
            <w:r w:rsidRPr="00B72EDC">
              <w:rPr>
                <w:b/>
                <w:bCs/>
                <w:noProof/>
                <w:szCs w:val="24"/>
                <w:lang w:val="id-ID" w:eastAsia="en-ID"/>
              </w:rPr>
              <w:t>A</w:t>
            </w:r>
            <w:r w:rsidR="000221FD" w:rsidRPr="00B72EDC">
              <w:rPr>
                <w:b/>
                <w:bCs/>
                <w:noProof/>
                <w:szCs w:val="24"/>
                <w:lang w:val="id-ID" w:eastAsia="en-ID"/>
              </w:rPr>
              <w:t xml:space="preserve"> policy directions</w:t>
            </w:r>
          </w:p>
        </w:tc>
      </w:tr>
      <w:tr w:rsidR="00341019" w:rsidRPr="00341019" w14:paraId="78CABFB9" w14:textId="77777777" w:rsidTr="00341019">
        <w:trPr>
          <w:trHeight w:val="517"/>
          <w:tblHeader/>
          <w:jc w:val="center"/>
        </w:trPr>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52DBF62" w14:textId="77777777" w:rsidR="00341019" w:rsidRPr="00341019" w:rsidRDefault="00341019" w:rsidP="00341019">
            <w:pPr>
              <w:rPr>
                <w:noProof/>
                <w:color w:val="000000"/>
                <w:szCs w:val="24"/>
                <w:lang w:val="id-ID" w:eastAsia="en-ID"/>
              </w:rPr>
            </w:pPr>
            <w:r w:rsidRPr="00341019">
              <w:rPr>
                <w:noProof/>
                <w:color w:val="000000"/>
                <w:szCs w:val="24"/>
                <w:lang w:val="id-ID" w:eastAsia="en-ID"/>
              </w:rPr>
              <w:t>Maintaining the preservation of regional cultural heritage and regional cultural heritage</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14:paraId="3713D9EF" w14:textId="77777777" w:rsidR="00341019" w:rsidRPr="00341019" w:rsidRDefault="00341019" w:rsidP="00341019">
            <w:pPr>
              <w:rPr>
                <w:noProof/>
                <w:color w:val="000000"/>
                <w:szCs w:val="24"/>
                <w:lang w:val="id-ID" w:eastAsia="en-ID"/>
              </w:rPr>
            </w:pPr>
            <w:r w:rsidRPr="00341019">
              <w:rPr>
                <w:noProof/>
                <w:color w:val="000000"/>
                <w:szCs w:val="24"/>
                <w:lang w:val="id-ID" w:eastAsia="en-ID"/>
              </w:rPr>
              <w:t>Maintaining the preservation of regional cultural heritage</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0F9C7CAB" w14:textId="77777777" w:rsidR="00341019" w:rsidRPr="00341019" w:rsidRDefault="00341019" w:rsidP="00341019">
            <w:pPr>
              <w:rPr>
                <w:noProof/>
                <w:color w:val="000000"/>
                <w:szCs w:val="24"/>
                <w:lang w:val="id-ID" w:eastAsia="en-ID"/>
              </w:rPr>
            </w:pPr>
            <w:r w:rsidRPr="00341019">
              <w:rPr>
                <w:noProof/>
                <w:color w:val="000000"/>
                <w:szCs w:val="24"/>
                <w:lang w:val="id-ID" w:eastAsia="en-ID"/>
              </w:rPr>
              <w:t>Preserving cultural heritage to make cultural promotion icons</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0167739B" w14:textId="77777777" w:rsidR="00341019" w:rsidRPr="00341019" w:rsidRDefault="00341019" w:rsidP="00341019">
            <w:pPr>
              <w:rPr>
                <w:noProof/>
                <w:color w:val="000000"/>
                <w:szCs w:val="24"/>
                <w:lang w:val="id-ID" w:eastAsia="en-ID"/>
              </w:rPr>
            </w:pPr>
            <w:r w:rsidRPr="00341019">
              <w:rPr>
                <w:noProof/>
                <w:color w:val="000000"/>
                <w:szCs w:val="24"/>
                <w:lang w:val="id-ID" w:eastAsia="en-ID"/>
              </w:rPr>
              <w:t>Preservation of cultural heritage as a regional cultural wealth.</w:t>
            </w:r>
          </w:p>
        </w:tc>
      </w:tr>
      <w:tr w:rsidR="00341019" w:rsidRPr="00341019" w14:paraId="3DA156A7" w14:textId="77777777" w:rsidTr="00341019">
        <w:trPr>
          <w:trHeight w:val="517"/>
          <w:tblHeader/>
          <w:jc w:val="center"/>
        </w:trPr>
        <w:tc>
          <w:tcPr>
            <w:tcW w:w="2126" w:type="dxa"/>
            <w:vMerge/>
            <w:tcBorders>
              <w:top w:val="nil"/>
              <w:left w:val="single" w:sz="4" w:space="0" w:color="auto"/>
              <w:bottom w:val="single" w:sz="4" w:space="0" w:color="auto"/>
              <w:right w:val="single" w:sz="4" w:space="0" w:color="auto"/>
            </w:tcBorders>
            <w:vAlign w:val="center"/>
            <w:hideMark/>
          </w:tcPr>
          <w:p w14:paraId="152A01D0" w14:textId="77777777" w:rsidR="00341019" w:rsidRPr="00341019" w:rsidRDefault="00341019" w:rsidP="00341019">
            <w:pPr>
              <w:rPr>
                <w:noProof/>
                <w:color w:val="000000"/>
                <w:szCs w:val="24"/>
                <w:lang w:val="id-ID" w:eastAsia="en-ID"/>
              </w:rPr>
            </w:pPr>
          </w:p>
        </w:tc>
        <w:tc>
          <w:tcPr>
            <w:tcW w:w="2269" w:type="dxa"/>
            <w:vMerge/>
            <w:tcBorders>
              <w:top w:val="nil"/>
              <w:left w:val="single" w:sz="4" w:space="0" w:color="auto"/>
              <w:bottom w:val="single" w:sz="4" w:space="0" w:color="000000"/>
              <w:right w:val="single" w:sz="4" w:space="0" w:color="auto"/>
            </w:tcBorders>
            <w:vAlign w:val="center"/>
            <w:hideMark/>
          </w:tcPr>
          <w:p w14:paraId="07945345" w14:textId="77777777" w:rsidR="00341019" w:rsidRPr="00341019" w:rsidRDefault="00341019" w:rsidP="00341019">
            <w:pPr>
              <w:rPr>
                <w:noProof/>
                <w:color w:val="000000"/>
                <w:szCs w:val="24"/>
                <w:lang w:val="id-ID" w:eastAsia="en-ID"/>
              </w:rPr>
            </w:pPr>
          </w:p>
        </w:tc>
        <w:tc>
          <w:tcPr>
            <w:tcW w:w="2409" w:type="dxa"/>
            <w:vMerge/>
            <w:tcBorders>
              <w:top w:val="nil"/>
              <w:left w:val="single" w:sz="4" w:space="0" w:color="auto"/>
              <w:bottom w:val="single" w:sz="4" w:space="0" w:color="000000"/>
              <w:right w:val="single" w:sz="4" w:space="0" w:color="auto"/>
            </w:tcBorders>
            <w:vAlign w:val="center"/>
            <w:hideMark/>
          </w:tcPr>
          <w:p w14:paraId="604B3536" w14:textId="77777777" w:rsidR="00341019" w:rsidRPr="00341019" w:rsidRDefault="00341019" w:rsidP="00341019">
            <w:pPr>
              <w:rPr>
                <w:noProof/>
                <w:color w:val="000000"/>
                <w:szCs w:val="24"/>
                <w:lang w:val="id-ID" w:eastAsia="en-ID"/>
              </w:rPr>
            </w:pPr>
          </w:p>
        </w:tc>
        <w:tc>
          <w:tcPr>
            <w:tcW w:w="2552" w:type="dxa"/>
            <w:vMerge/>
            <w:tcBorders>
              <w:top w:val="nil"/>
              <w:left w:val="single" w:sz="4" w:space="0" w:color="auto"/>
              <w:bottom w:val="single" w:sz="4" w:space="0" w:color="000000"/>
              <w:right w:val="single" w:sz="4" w:space="0" w:color="auto"/>
            </w:tcBorders>
            <w:vAlign w:val="center"/>
            <w:hideMark/>
          </w:tcPr>
          <w:p w14:paraId="40454CD5" w14:textId="77777777" w:rsidR="00341019" w:rsidRPr="00341019" w:rsidRDefault="00341019" w:rsidP="00341019">
            <w:pPr>
              <w:rPr>
                <w:noProof/>
                <w:color w:val="000000"/>
                <w:szCs w:val="24"/>
                <w:lang w:val="id-ID" w:eastAsia="en-ID"/>
              </w:rPr>
            </w:pPr>
          </w:p>
        </w:tc>
      </w:tr>
      <w:tr w:rsidR="00341019" w:rsidRPr="00341019" w14:paraId="5AE53C0A" w14:textId="77777777" w:rsidTr="00341019">
        <w:trPr>
          <w:trHeight w:val="414"/>
          <w:tblHeader/>
          <w:jc w:val="center"/>
        </w:trPr>
        <w:tc>
          <w:tcPr>
            <w:tcW w:w="2126" w:type="dxa"/>
            <w:vMerge/>
            <w:tcBorders>
              <w:top w:val="nil"/>
              <w:left w:val="single" w:sz="4" w:space="0" w:color="auto"/>
              <w:bottom w:val="single" w:sz="4" w:space="0" w:color="auto"/>
              <w:right w:val="single" w:sz="4" w:space="0" w:color="auto"/>
            </w:tcBorders>
            <w:vAlign w:val="center"/>
            <w:hideMark/>
          </w:tcPr>
          <w:p w14:paraId="7186253F" w14:textId="77777777" w:rsidR="00341019" w:rsidRPr="00341019" w:rsidRDefault="00341019" w:rsidP="00341019">
            <w:pPr>
              <w:rPr>
                <w:noProof/>
                <w:color w:val="000000"/>
                <w:szCs w:val="24"/>
                <w:lang w:val="id-ID" w:eastAsia="en-ID"/>
              </w:rPr>
            </w:pPr>
          </w:p>
        </w:tc>
        <w:tc>
          <w:tcPr>
            <w:tcW w:w="2269" w:type="dxa"/>
            <w:vMerge/>
            <w:tcBorders>
              <w:top w:val="nil"/>
              <w:left w:val="single" w:sz="4" w:space="0" w:color="auto"/>
              <w:bottom w:val="single" w:sz="4" w:space="0" w:color="000000"/>
              <w:right w:val="single" w:sz="4" w:space="0" w:color="auto"/>
            </w:tcBorders>
            <w:vAlign w:val="center"/>
            <w:hideMark/>
          </w:tcPr>
          <w:p w14:paraId="424FE742" w14:textId="77777777" w:rsidR="00341019" w:rsidRPr="00341019" w:rsidRDefault="00341019" w:rsidP="00341019">
            <w:pPr>
              <w:rPr>
                <w:noProof/>
                <w:color w:val="000000"/>
                <w:szCs w:val="24"/>
                <w:lang w:val="id-ID" w:eastAsia="en-ID"/>
              </w:rPr>
            </w:pPr>
          </w:p>
        </w:tc>
        <w:tc>
          <w:tcPr>
            <w:tcW w:w="2409" w:type="dxa"/>
            <w:vMerge/>
            <w:tcBorders>
              <w:top w:val="nil"/>
              <w:left w:val="single" w:sz="4" w:space="0" w:color="auto"/>
              <w:bottom w:val="single" w:sz="4" w:space="0" w:color="000000"/>
              <w:right w:val="single" w:sz="4" w:space="0" w:color="auto"/>
            </w:tcBorders>
            <w:vAlign w:val="center"/>
            <w:hideMark/>
          </w:tcPr>
          <w:p w14:paraId="0E67B51B" w14:textId="77777777" w:rsidR="00341019" w:rsidRPr="00341019" w:rsidRDefault="00341019" w:rsidP="00341019">
            <w:pPr>
              <w:rPr>
                <w:noProof/>
                <w:color w:val="000000"/>
                <w:szCs w:val="24"/>
                <w:lang w:val="id-ID" w:eastAsia="en-ID"/>
              </w:rPr>
            </w:pPr>
          </w:p>
        </w:tc>
        <w:tc>
          <w:tcPr>
            <w:tcW w:w="2552" w:type="dxa"/>
            <w:vMerge/>
            <w:tcBorders>
              <w:top w:val="nil"/>
              <w:left w:val="single" w:sz="4" w:space="0" w:color="auto"/>
              <w:bottom w:val="single" w:sz="4" w:space="0" w:color="000000"/>
              <w:right w:val="single" w:sz="4" w:space="0" w:color="auto"/>
            </w:tcBorders>
            <w:vAlign w:val="center"/>
            <w:hideMark/>
          </w:tcPr>
          <w:p w14:paraId="3B9B9664" w14:textId="77777777" w:rsidR="00341019" w:rsidRPr="00341019" w:rsidRDefault="00341019" w:rsidP="00341019">
            <w:pPr>
              <w:rPr>
                <w:noProof/>
                <w:color w:val="000000"/>
                <w:szCs w:val="24"/>
                <w:lang w:val="id-ID" w:eastAsia="en-ID"/>
              </w:rPr>
            </w:pPr>
          </w:p>
        </w:tc>
      </w:tr>
      <w:tr w:rsidR="00341019" w:rsidRPr="00341019" w14:paraId="7D1A0CAD" w14:textId="77777777" w:rsidTr="00341019">
        <w:trPr>
          <w:trHeight w:val="1042"/>
          <w:tblHeader/>
          <w:jc w:val="center"/>
        </w:trPr>
        <w:tc>
          <w:tcPr>
            <w:tcW w:w="2126" w:type="dxa"/>
            <w:vMerge/>
            <w:tcBorders>
              <w:top w:val="nil"/>
              <w:left w:val="single" w:sz="4" w:space="0" w:color="auto"/>
              <w:bottom w:val="single" w:sz="4" w:space="0" w:color="auto"/>
              <w:right w:val="single" w:sz="4" w:space="0" w:color="auto"/>
            </w:tcBorders>
            <w:vAlign w:val="center"/>
            <w:hideMark/>
          </w:tcPr>
          <w:p w14:paraId="273D30F0" w14:textId="77777777" w:rsidR="00341019" w:rsidRPr="00341019" w:rsidRDefault="00341019" w:rsidP="00341019">
            <w:pPr>
              <w:rPr>
                <w:noProof/>
                <w:color w:val="000000"/>
                <w:szCs w:val="24"/>
                <w:lang w:val="id-ID" w:eastAsia="en-ID"/>
              </w:rPr>
            </w:pPr>
          </w:p>
        </w:tc>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14:paraId="718B30D7" w14:textId="77777777" w:rsidR="00341019" w:rsidRPr="00341019" w:rsidRDefault="00341019" w:rsidP="00341019">
            <w:pPr>
              <w:rPr>
                <w:noProof/>
                <w:color w:val="000000"/>
                <w:szCs w:val="24"/>
                <w:lang w:val="id-ID" w:eastAsia="en-ID"/>
              </w:rPr>
            </w:pPr>
            <w:r w:rsidRPr="00341019">
              <w:rPr>
                <w:noProof/>
                <w:color w:val="000000"/>
                <w:szCs w:val="24"/>
                <w:lang w:val="id-ID" w:eastAsia="en-ID"/>
              </w:rPr>
              <w:t>Preservation of regional cultural heritage</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03DD9727" w14:textId="77777777" w:rsidR="00341019" w:rsidRPr="00341019" w:rsidRDefault="00341019" w:rsidP="00341019">
            <w:pPr>
              <w:rPr>
                <w:noProof/>
                <w:color w:val="000000"/>
                <w:szCs w:val="24"/>
                <w:lang w:val="id-ID" w:eastAsia="en-ID"/>
              </w:rPr>
            </w:pPr>
            <w:r w:rsidRPr="00341019">
              <w:rPr>
                <w:noProof/>
                <w:color w:val="000000"/>
                <w:szCs w:val="24"/>
                <w:lang w:val="id-ID" w:eastAsia="en-ID"/>
              </w:rPr>
              <w:t>Preserving cultural heritage to make cultural promotion icons</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66FC6E22" w14:textId="77777777" w:rsidR="00341019" w:rsidRPr="00341019" w:rsidRDefault="00341019" w:rsidP="00341019">
            <w:pPr>
              <w:rPr>
                <w:noProof/>
                <w:color w:val="000000"/>
                <w:szCs w:val="24"/>
                <w:lang w:val="id-ID" w:eastAsia="en-ID"/>
              </w:rPr>
            </w:pPr>
            <w:r w:rsidRPr="00341019">
              <w:rPr>
                <w:noProof/>
                <w:color w:val="000000"/>
                <w:szCs w:val="24"/>
                <w:lang w:val="id-ID" w:eastAsia="en-ID"/>
              </w:rPr>
              <w:t>Preservation of bone cultural heritage to be known by the wider community</w:t>
            </w:r>
          </w:p>
        </w:tc>
      </w:tr>
      <w:tr w:rsidR="00341019" w:rsidRPr="00341019" w14:paraId="2345E7E6" w14:textId="77777777" w:rsidTr="00341019">
        <w:trPr>
          <w:trHeight w:val="414"/>
          <w:tblHeader/>
          <w:jc w:val="center"/>
        </w:trPr>
        <w:tc>
          <w:tcPr>
            <w:tcW w:w="2126" w:type="dxa"/>
            <w:vMerge/>
            <w:tcBorders>
              <w:top w:val="nil"/>
              <w:left w:val="single" w:sz="4" w:space="0" w:color="auto"/>
              <w:bottom w:val="single" w:sz="4" w:space="0" w:color="auto"/>
              <w:right w:val="single" w:sz="4" w:space="0" w:color="auto"/>
            </w:tcBorders>
            <w:vAlign w:val="center"/>
            <w:hideMark/>
          </w:tcPr>
          <w:p w14:paraId="6B65527D" w14:textId="77777777" w:rsidR="00341019" w:rsidRPr="00341019" w:rsidRDefault="00341019" w:rsidP="00341019">
            <w:pPr>
              <w:rPr>
                <w:noProof/>
                <w:color w:val="000000"/>
                <w:szCs w:val="24"/>
                <w:lang w:val="id-ID" w:eastAsia="en-ID"/>
              </w:rPr>
            </w:pPr>
          </w:p>
        </w:tc>
        <w:tc>
          <w:tcPr>
            <w:tcW w:w="2269" w:type="dxa"/>
            <w:vMerge/>
            <w:tcBorders>
              <w:top w:val="nil"/>
              <w:left w:val="single" w:sz="4" w:space="0" w:color="auto"/>
              <w:bottom w:val="single" w:sz="4" w:space="0" w:color="auto"/>
              <w:right w:val="single" w:sz="4" w:space="0" w:color="auto"/>
            </w:tcBorders>
            <w:vAlign w:val="center"/>
            <w:hideMark/>
          </w:tcPr>
          <w:p w14:paraId="291A792D" w14:textId="77777777" w:rsidR="00341019" w:rsidRPr="00341019" w:rsidRDefault="00341019" w:rsidP="00341019">
            <w:pPr>
              <w:rPr>
                <w:noProof/>
                <w:color w:val="000000"/>
                <w:szCs w:val="24"/>
                <w:lang w:val="id-ID" w:eastAsia="en-ID"/>
              </w:rPr>
            </w:pPr>
          </w:p>
        </w:tc>
        <w:tc>
          <w:tcPr>
            <w:tcW w:w="2409" w:type="dxa"/>
            <w:vMerge/>
            <w:tcBorders>
              <w:top w:val="nil"/>
              <w:left w:val="single" w:sz="4" w:space="0" w:color="auto"/>
              <w:bottom w:val="single" w:sz="4" w:space="0" w:color="auto"/>
              <w:right w:val="single" w:sz="4" w:space="0" w:color="auto"/>
            </w:tcBorders>
            <w:vAlign w:val="center"/>
            <w:hideMark/>
          </w:tcPr>
          <w:p w14:paraId="77A77F3F" w14:textId="77777777" w:rsidR="00341019" w:rsidRPr="00341019" w:rsidRDefault="00341019" w:rsidP="00341019">
            <w:pPr>
              <w:rPr>
                <w:noProof/>
                <w:color w:val="000000"/>
                <w:szCs w:val="24"/>
                <w:lang w:val="id-ID" w:eastAsia="en-ID"/>
              </w:rPr>
            </w:pPr>
          </w:p>
        </w:tc>
        <w:tc>
          <w:tcPr>
            <w:tcW w:w="2552" w:type="dxa"/>
            <w:vMerge/>
            <w:tcBorders>
              <w:top w:val="nil"/>
              <w:left w:val="single" w:sz="4" w:space="0" w:color="auto"/>
              <w:bottom w:val="single" w:sz="4" w:space="0" w:color="auto"/>
              <w:right w:val="single" w:sz="4" w:space="0" w:color="auto"/>
            </w:tcBorders>
            <w:vAlign w:val="center"/>
            <w:hideMark/>
          </w:tcPr>
          <w:p w14:paraId="6FC99429" w14:textId="77777777" w:rsidR="00341019" w:rsidRPr="00341019" w:rsidRDefault="00341019" w:rsidP="00341019">
            <w:pPr>
              <w:rPr>
                <w:noProof/>
                <w:color w:val="000000"/>
                <w:szCs w:val="24"/>
                <w:lang w:val="id-ID" w:eastAsia="en-ID"/>
              </w:rPr>
            </w:pPr>
          </w:p>
        </w:tc>
      </w:tr>
      <w:tr w:rsidR="00341019" w:rsidRPr="00341019" w14:paraId="247DC604" w14:textId="77777777" w:rsidTr="00341019">
        <w:trPr>
          <w:trHeight w:val="567"/>
          <w:tblHeader/>
          <w:jc w:val="center"/>
        </w:trPr>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BDE37E6" w14:textId="77777777" w:rsidR="00341019" w:rsidRPr="00341019" w:rsidRDefault="00341019" w:rsidP="00341019">
            <w:pPr>
              <w:rPr>
                <w:noProof/>
                <w:color w:val="000000"/>
                <w:szCs w:val="24"/>
                <w:lang w:val="id-ID" w:eastAsia="en-ID"/>
              </w:rPr>
            </w:pPr>
            <w:r w:rsidRPr="00341019">
              <w:rPr>
                <w:noProof/>
                <w:color w:val="000000"/>
                <w:szCs w:val="24"/>
                <w:lang w:val="id-ID" w:eastAsia="en-ID"/>
              </w:rPr>
              <w:t>Increasing national recognition of regional cultural works</w:t>
            </w:r>
          </w:p>
        </w:tc>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14:paraId="27134820" w14:textId="77777777" w:rsidR="00341019" w:rsidRPr="00341019" w:rsidRDefault="00341019" w:rsidP="00341019">
            <w:pPr>
              <w:rPr>
                <w:noProof/>
                <w:color w:val="000000"/>
                <w:szCs w:val="24"/>
                <w:lang w:val="id-ID" w:eastAsia="en-ID"/>
              </w:rPr>
            </w:pPr>
            <w:r w:rsidRPr="00341019">
              <w:rPr>
                <w:noProof/>
                <w:color w:val="000000"/>
                <w:szCs w:val="24"/>
                <w:lang w:val="id-ID" w:eastAsia="en-ID"/>
              </w:rPr>
              <w:t>Increased national recognition of regional cultural works</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29C2B7BD" w14:textId="77777777" w:rsidR="00341019" w:rsidRPr="00341019" w:rsidRDefault="00341019" w:rsidP="00341019">
            <w:pPr>
              <w:rPr>
                <w:noProof/>
                <w:color w:val="000000"/>
                <w:szCs w:val="24"/>
                <w:lang w:val="id-ID" w:eastAsia="en-ID"/>
              </w:rPr>
            </w:pPr>
            <w:r w:rsidRPr="00341019">
              <w:rPr>
                <w:noProof/>
                <w:color w:val="000000"/>
                <w:szCs w:val="24"/>
                <w:lang w:val="id-ID" w:eastAsia="en-ID"/>
              </w:rPr>
              <w:t>Increased national recognition of intangible cultural heritage</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2E0F8569" w14:textId="77777777" w:rsidR="00341019" w:rsidRPr="00341019" w:rsidRDefault="00341019" w:rsidP="00341019">
            <w:pPr>
              <w:rPr>
                <w:noProof/>
                <w:color w:val="000000"/>
                <w:szCs w:val="24"/>
                <w:lang w:val="id-ID" w:eastAsia="en-ID"/>
              </w:rPr>
            </w:pPr>
            <w:r w:rsidRPr="00341019">
              <w:rPr>
                <w:noProof/>
                <w:color w:val="000000"/>
                <w:szCs w:val="24"/>
                <w:lang w:val="id-ID" w:eastAsia="en-ID"/>
              </w:rPr>
              <w:t>Provision of study materials to gain recognition of cultural works</w:t>
            </w:r>
          </w:p>
        </w:tc>
      </w:tr>
      <w:tr w:rsidR="00341019" w:rsidRPr="00341019" w14:paraId="2710DD8B" w14:textId="77777777" w:rsidTr="00341019">
        <w:trPr>
          <w:trHeight w:val="1155"/>
          <w:tblHeader/>
          <w:jc w:val="center"/>
        </w:trPr>
        <w:tc>
          <w:tcPr>
            <w:tcW w:w="2126" w:type="dxa"/>
            <w:vMerge/>
            <w:tcBorders>
              <w:top w:val="nil"/>
              <w:left w:val="single" w:sz="4" w:space="0" w:color="auto"/>
              <w:bottom w:val="single" w:sz="4" w:space="0" w:color="auto"/>
              <w:right w:val="single" w:sz="4" w:space="0" w:color="auto"/>
            </w:tcBorders>
            <w:vAlign w:val="center"/>
            <w:hideMark/>
          </w:tcPr>
          <w:p w14:paraId="08225C20" w14:textId="77777777" w:rsidR="00341019" w:rsidRPr="00341019" w:rsidRDefault="00341019" w:rsidP="00341019">
            <w:pPr>
              <w:rPr>
                <w:noProof/>
                <w:color w:val="000000"/>
                <w:szCs w:val="24"/>
                <w:lang w:val="id-ID" w:eastAsia="en-ID"/>
              </w:rPr>
            </w:pPr>
          </w:p>
        </w:tc>
        <w:tc>
          <w:tcPr>
            <w:tcW w:w="2269" w:type="dxa"/>
            <w:vMerge/>
            <w:tcBorders>
              <w:top w:val="nil"/>
              <w:left w:val="single" w:sz="4" w:space="0" w:color="auto"/>
              <w:bottom w:val="single" w:sz="4" w:space="0" w:color="auto"/>
              <w:right w:val="single" w:sz="4" w:space="0" w:color="auto"/>
            </w:tcBorders>
            <w:vAlign w:val="center"/>
            <w:hideMark/>
          </w:tcPr>
          <w:p w14:paraId="2934F4D8" w14:textId="77777777" w:rsidR="00341019" w:rsidRPr="00341019" w:rsidRDefault="00341019" w:rsidP="00341019">
            <w:pPr>
              <w:rPr>
                <w:noProof/>
                <w:color w:val="000000"/>
                <w:szCs w:val="24"/>
                <w:lang w:val="id-ID" w:eastAsia="en-ID"/>
              </w:rPr>
            </w:pPr>
          </w:p>
        </w:tc>
        <w:tc>
          <w:tcPr>
            <w:tcW w:w="2409" w:type="dxa"/>
            <w:vMerge/>
            <w:tcBorders>
              <w:top w:val="nil"/>
              <w:left w:val="single" w:sz="4" w:space="0" w:color="auto"/>
              <w:bottom w:val="single" w:sz="4" w:space="0" w:color="auto"/>
              <w:right w:val="single" w:sz="4" w:space="0" w:color="auto"/>
            </w:tcBorders>
            <w:vAlign w:val="center"/>
            <w:hideMark/>
          </w:tcPr>
          <w:p w14:paraId="6FA1C54D" w14:textId="77777777" w:rsidR="00341019" w:rsidRPr="00341019" w:rsidRDefault="00341019" w:rsidP="00341019">
            <w:pPr>
              <w:rPr>
                <w:noProof/>
                <w:color w:val="000000"/>
                <w:szCs w:val="24"/>
                <w:lang w:val="id-ID" w:eastAsia="en-ID"/>
              </w:rPr>
            </w:pPr>
          </w:p>
        </w:tc>
        <w:tc>
          <w:tcPr>
            <w:tcW w:w="2552" w:type="dxa"/>
            <w:vMerge/>
            <w:tcBorders>
              <w:top w:val="nil"/>
              <w:left w:val="single" w:sz="4" w:space="0" w:color="auto"/>
              <w:bottom w:val="single" w:sz="4" w:space="0" w:color="auto"/>
              <w:right w:val="single" w:sz="4" w:space="0" w:color="auto"/>
            </w:tcBorders>
            <w:vAlign w:val="center"/>
            <w:hideMark/>
          </w:tcPr>
          <w:p w14:paraId="2C1B1C13" w14:textId="77777777" w:rsidR="00341019" w:rsidRPr="00341019" w:rsidRDefault="00341019" w:rsidP="00341019">
            <w:pPr>
              <w:rPr>
                <w:noProof/>
                <w:color w:val="000000"/>
                <w:szCs w:val="24"/>
                <w:lang w:val="id-ID" w:eastAsia="en-ID"/>
              </w:rPr>
            </w:pPr>
          </w:p>
        </w:tc>
      </w:tr>
    </w:tbl>
    <w:p w14:paraId="4D0FF2C4" w14:textId="77777777" w:rsidR="00341019" w:rsidRPr="00341019" w:rsidRDefault="00341019" w:rsidP="00341019">
      <w:pPr>
        <w:jc w:val="center"/>
        <w:rPr>
          <w:noProof/>
          <w:color w:val="191919"/>
          <w:szCs w:val="24"/>
          <w:shd w:val="clear" w:color="auto" w:fill="FFFFFF"/>
          <w:lang w:val="id-ID"/>
        </w:rPr>
      </w:pPr>
      <w:r w:rsidRPr="00341019">
        <w:rPr>
          <w:noProof/>
          <w:color w:val="191919"/>
          <w:szCs w:val="24"/>
          <w:shd w:val="clear" w:color="auto" w:fill="FFFFFF"/>
          <w:lang w:val="id-ID"/>
        </w:rPr>
        <w:t>Source: Strategic Planning for changes in Disbud Bone 2018-2023</w:t>
      </w:r>
    </w:p>
    <w:p w14:paraId="35F08C87" w14:textId="77777777" w:rsidR="00341019" w:rsidRPr="00341019" w:rsidRDefault="00341019" w:rsidP="00341019">
      <w:pPr>
        <w:jc w:val="center"/>
        <w:rPr>
          <w:noProof/>
          <w:color w:val="191919"/>
          <w:szCs w:val="24"/>
          <w:shd w:val="clear" w:color="auto" w:fill="FFFFFF"/>
          <w:lang w:val="id-ID"/>
        </w:rPr>
      </w:pPr>
    </w:p>
    <w:p w14:paraId="77E117CD" w14:textId="77777777" w:rsidR="00341019" w:rsidRPr="00341019" w:rsidRDefault="00341019" w:rsidP="00341019">
      <w:pPr>
        <w:spacing w:after="120"/>
        <w:ind w:firstLine="357"/>
        <w:rPr>
          <w:bCs/>
          <w:noProof/>
          <w:szCs w:val="24"/>
          <w:lang w:val="id-ID"/>
        </w:rPr>
      </w:pPr>
      <w:r w:rsidRPr="00341019">
        <w:rPr>
          <w:bCs/>
          <w:noProof/>
          <w:szCs w:val="24"/>
          <w:lang w:val="id-ID"/>
        </w:rPr>
        <w:t>The alignment of goals, targets, strategies, and policy directions of the Bone Regency cultural service is an effort to make policies and strategies more focused and structured.</w:t>
      </w:r>
      <w:r w:rsidRPr="00341019">
        <w:rPr>
          <w:bCs/>
          <w:iCs/>
          <w:noProof/>
          <w:color w:val="000000" w:themeColor="text1"/>
          <w:szCs w:val="24"/>
          <w:lang w:val="id-ID"/>
        </w:rPr>
        <w:t xml:space="preserve"> In the Formulation of the Strategic Plan (Renstra)</w:t>
      </w:r>
      <w:r w:rsidRPr="00341019">
        <w:rPr>
          <w:bCs/>
          <w:noProof/>
          <w:color w:val="000000" w:themeColor="text1"/>
          <w:szCs w:val="24"/>
          <w:lang w:val="id-ID"/>
        </w:rPr>
        <w:t>Changes to the Bone Regency Culture Service in 2018 – 2023. Several strategies that are closely related to the preservation of culture and cultural heritage in Bone Regency include;</w:t>
      </w:r>
    </w:p>
    <w:p w14:paraId="115B0212" w14:textId="77777777" w:rsidR="00341019" w:rsidRPr="00341019" w:rsidRDefault="00341019" w:rsidP="00341019">
      <w:pPr>
        <w:pStyle w:val="ListParagraph"/>
        <w:numPr>
          <w:ilvl w:val="0"/>
          <w:numId w:val="11"/>
        </w:numPr>
        <w:spacing w:after="120"/>
        <w:ind w:left="284" w:hanging="284"/>
        <w:jc w:val="both"/>
        <w:rPr>
          <w:b/>
          <w:bCs/>
          <w:iCs/>
          <w:noProof/>
          <w:szCs w:val="24"/>
          <w:lang w:val="id-ID"/>
        </w:rPr>
      </w:pPr>
      <w:r w:rsidRPr="00341019">
        <w:rPr>
          <w:b/>
          <w:bCs/>
          <w:iCs/>
          <w:noProof/>
          <w:szCs w:val="24"/>
          <w:lang w:val="id-ID"/>
        </w:rPr>
        <w:t>Preserving Cultural Conservation to make cultural promotion icons.</w:t>
      </w:r>
    </w:p>
    <w:p w14:paraId="6B6B23E9" w14:textId="77777777" w:rsidR="00341019" w:rsidRPr="00341019" w:rsidRDefault="00341019" w:rsidP="00341019">
      <w:pPr>
        <w:spacing w:after="120"/>
        <w:ind w:firstLine="357"/>
        <w:jc w:val="both"/>
        <w:rPr>
          <w:noProof/>
          <w:szCs w:val="24"/>
          <w:lang w:val="id-ID"/>
        </w:rPr>
      </w:pPr>
      <w:r w:rsidRPr="00341019">
        <w:rPr>
          <w:noProof/>
          <w:szCs w:val="24"/>
          <w:lang w:val="id-ID"/>
        </w:rPr>
        <w:t>Talking about the preservation of cultural heritage, of course, we are</w:t>
      </w:r>
      <w:r w:rsidRPr="00341019">
        <w:rPr>
          <w:noProof/>
          <w:color w:val="000000" w:themeColor="text1"/>
          <w:szCs w:val="24"/>
          <w:lang w:val="id-ID"/>
        </w:rPr>
        <w:t xml:space="preserve"> refer</w:t>
      </w:r>
      <w:r w:rsidRPr="00341019">
        <w:rPr>
          <w:noProof/>
          <w:szCs w:val="24"/>
          <w:lang w:val="id-ID"/>
        </w:rPr>
        <w:t>ring according to the Law on Cultural Conservation, according to this Law, cultural heritage is a cultural heritage that is Tangible or visible and material in nature, the existence of that cultural heritage becomes historical evidence or an artifact even becomes the identity or identity of a nation, with the existence of that material cultural heritage. becomes a basic foundation of all the arguments we build about the great history of the Bone kingdom in the past. if people ask when, and where is the evidence, one of the proofs is the existence of the material cultural heritage. In the cultural heritage law, it is stated that efforts to preserve cultural heritage are carried out by protecting, developing, and utilizing them. Preservation efforts are intended as an effort to maintain the object while maintaining the value of the cultural heritage object.</w:t>
      </w:r>
    </w:p>
    <w:p w14:paraId="084D8467" w14:textId="77777777" w:rsidR="00341019" w:rsidRPr="00341019" w:rsidRDefault="00341019" w:rsidP="00341019">
      <w:pPr>
        <w:spacing w:after="120"/>
        <w:ind w:firstLine="357"/>
        <w:jc w:val="both"/>
        <w:rPr>
          <w:noProof/>
          <w:szCs w:val="24"/>
          <w:lang w:val="id-ID"/>
        </w:rPr>
      </w:pPr>
      <w:r w:rsidRPr="00341019">
        <w:rPr>
          <w:noProof/>
          <w:szCs w:val="24"/>
          <w:lang w:val="id-ID"/>
        </w:rPr>
        <w:t>The strategy of the Culture Service of Bone Regency to preserve cultural heritage objects and their values ​​is a strategy of preserving culture</w:t>
      </w:r>
      <w:r w:rsidRPr="00341019">
        <w:rPr>
          <w:noProof/>
          <w:color w:val="000000" w:themeColor="text1"/>
          <w:szCs w:val="24"/>
          <w:lang w:val="id-ID"/>
        </w:rPr>
        <w:t xml:space="preserve"> to make an icon of cultural promotion, with a policy direction of preserving culture as a regional cultural wealth. Departing from the strategy and policy direction, programs and activities are formulated to implement the strategy.</w:t>
      </w:r>
    </w:p>
    <w:p w14:paraId="20DD267B" w14:textId="1E0DECC1" w:rsidR="00341019" w:rsidRPr="00341019" w:rsidRDefault="00B72EDC" w:rsidP="00341019">
      <w:pPr>
        <w:spacing w:after="120"/>
        <w:ind w:firstLine="357"/>
        <w:jc w:val="both"/>
        <w:rPr>
          <w:noProof/>
          <w:szCs w:val="24"/>
          <w:lang w:val="id-ID"/>
        </w:rPr>
      </w:pPr>
      <w:r w:rsidRPr="00B72EDC">
        <w:rPr>
          <w:noProof/>
          <w:szCs w:val="24"/>
          <w:lang w:val="id-ID"/>
        </w:rPr>
        <w:lastRenderedPageBreak/>
        <w:t>The program that will execute the aforementioned strategy is a cultural heritage preservation and management program, which includes determining cultural heritage at the district-city level. The first step is to register suspected cultural heritage objects, followed by an assessment conducted by the Cultural Conservation Expert Team (TACB) after passing the registration procedure. This team consists of experts in cultural heritage preservation from various fields who hold competency certificates to recommend the determination, ranking, and elimination of cultural heritage to regional heads. They do so by reviewing and assessing the feasibility of registered objects as cultural heritage</w:t>
      </w:r>
      <w:r w:rsidR="00341019" w:rsidRPr="00341019">
        <w:rPr>
          <w:noProof/>
          <w:szCs w:val="24"/>
          <w:lang w:val="id-ID"/>
        </w:rPr>
        <w:t>.</w:t>
      </w:r>
    </w:p>
    <w:p w14:paraId="7D21C03F" w14:textId="72DCFC5C" w:rsidR="00341019" w:rsidRDefault="00341019" w:rsidP="00341019">
      <w:pPr>
        <w:jc w:val="center"/>
        <w:rPr>
          <w:b/>
          <w:bCs/>
          <w:noProof/>
          <w:szCs w:val="24"/>
          <w:lang w:val="id-ID"/>
        </w:rPr>
      </w:pPr>
      <w:bookmarkStart w:id="7" w:name="_Toc101707630"/>
      <w:r w:rsidRPr="00341019">
        <w:rPr>
          <w:b/>
          <w:bCs/>
          <w:noProof/>
          <w:szCs w:val="24"/>
          <w:lang w:val="id-ID"/>
        </w:rPr>
        <w:t>Table</w:t>
      </w:r>
      <w:r w:rsidRPr="00341019">
        <w:rPr>
          <w:b/>
          <w:bCs/>
          <w:noProof/>
          <w:szCs w:val="24"/>
        </w:rPr>
        <w:t xml:space="preserve"> </w:t>
      </w:r>
      <w:r w:rsidRPr="00341019">
        <w:rPr>
          <w:b/>
          <w:bCs/>
          <w:noProof/>
          <w:szCs w:val="24"/>
          <w:lang w:val="id-ID"/>
        </w:rPr>
        <w:fldChar w:fldCharType="begin"/>
      </w:r>
      <w:r w:rsidRPr="00341019">
        <w:rPr>
          <w:b/>
          <w:bCs/>
          <w:noProof/>
          <w:szCs w:val="24"/>
          <w:lang w:val="id-ID"/>
        </w:rPr>
        <w:instrText xml:space="preserve"> SEQ Tabel \* ARABIC </w:instrText>
      </w:r>
      <w:r w:rsidRPr="00341019">
        <w:rPr>
          <w:b/>
          <w:bCs/>
          <w:noProof/>
          <w:szCs w:val="24"/>
          <w:lang w:val="id-ID"/>
        </w:rPr>
        <w:fldChar w:fldCharType="separate"/>
      </w:r>
      <w:r w:rsidR="00E02BE2">
        <w:rPr>
          <w:b/>
          <w:bCs/>
          <w:noProof/>
          <w:szCs w:val="24"/>
          <w:lang w:val="id-ID"/>
        </w:rPr>
        <w:t>2</w:t>
      </w:r>
      <w:r w:rsidRPr="00341019">
        <w:rPr>
          <w:b/>
          <w:bCs/>
          <w:noProof/>
          <w:szCs w:val="24"/>
          <w:lang w:val="id-ID"/>
        </w:rPr>
        <w:fldChar w:fldCharType="end"/>
      </w:r>
      <w:r w:rsidRPr="00341019">
        <w:rPr>
          <w:b/>
          <w:bCs/>
          <w:noProof/>
          <w:szCs w:val="24"/>
          <w:lang w:val="id-ID"/>
        </w:rPr>
        <w:t>.</w:t>
      </w:r>
      <w:bookmarkEnd w:id="7"/>
      <w:r w:rsidRPr="00341019">
        <w:rPr>
          <w:bCs/>
          <w:iCs/>
          <w:noProof/>
          <w:szCs w:val="24"/>
        </w:rPr>
        <w:t xml:space="preserve"> </w:t>
      </w:r>
      <w:r w:rsidRPr="00B72EDC">
        <w:rPr>
          <w:b/>
          <w:bCs/>
          <w:noProof/>
          <w:szCs w:val="24"/>
          <w:lang w:val="id-ID"/>
        </w:rPr>
        <w:t>Objects Allegedly Registered Cultural Heritage</w:t>
      </w:r>
    </w:p>
    <w:tbl>
      <w:tblPr>
        <w:tblStyle w:val="TableGrid"/>
        <w:tblW w:w="5000" w:type="pct"/>
        <w:tblLook w:val="04A0" w:firstRow="1" w:lastRow="0" w:firstColumn="1" w:lastColumn="0" w:noHBand="0" w:noVBand="1"/>
      </w:tblPr>
      <w:tblGrid>
        <w:gridCol w:w="1228"/>
        <w:gridCol w:w="2094"/>
        <w:gridCol w:w="1146"/>
        <w:gridCol w:w="2064"/>
        <w:gridCol w:w="1015"/>
        <w:gridCol w:w="1800"/>
      </w:tblGrid>
      <w:tr w:rsidR="00E947CE" w:rsidRPr="00E947CE" w14:paraId="25B45F3A" w14:textId="6AFEB71F" w:rsidTr="00291970">
        <w:tc>
          <w:tcPr>
            <w:tcW w:w="657" w:type="pct"/>
            <w:vAlign w:val="center"/>
          </w:tcPr>
          <w:p w14:paraId="2C4B6570" w14:textId="268EA34A"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b/>
                <w:bCs/>
                <w:noProof/>
                <w:sz w:val="22"/>
                <w:szCs w:val="22"/>
                <w:lang w:val="id-ID" w:eastAsia="en-ID"/>
              </w:rPr>
              <w:t>No</w:t>
            </w:r>
          </w:p>
        </w:tc>
        <w:tc>
          <w:tcPr>
            <w:tcW w:w="1120" w:type="pct"/>
            <w:vAlign w:val="center"/>
          </w:tcPr>
          <w:p w14:paraId="637F4CDB" w14:textId="491B101F"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b/>
                <w:bCs/>
                <w:noProof/>
                <w:sz w:val="22"/>
                <w:szCs w:val="22"/>
                <w:lang w:val="id-ID" w:eastAsia="en-ID"/>
              </w:rPr>
              <w:t>Object name</w:t>
            </w:r>
          </w:p>
        </w:tc>
        <w:tc>
          <w:tcPr>
            <w:tcW w:w="613" w:type="pct"/>
            <w:vAlign w:val="center"/>
          </w:tcPr>
          <w:p w14:paraId="4976E626" w14:textId="2E463E9E" w:rsidR="00E947CE" w:rsidRPr="00E947CE" w:rsidRDefault="00E947CE" w:rsidP="00E947CE">
            <w:pPr>
              <w:jc w:val="center"/>
              <w:rPr>
                <w:rFonts w:ascii="Times New Roman" w:hAnsi="Times New Roman"/>
                <w:b/>
                <w:bCs/>
                <w:noProof/>
                <w:sz w:val="22"/>
                <w:szCs w:val="22"/>
                <w:lang w:val="id-ID" w:eastAsia="en-ID"/>
              </w:rPr>
            </w:pPr>
            <w:r w:rsidRPr="00E947CE">
              <w:rPr>
                <w:rFonts w:ascii="Times New Roman" w:hAnsi="Times New Roman"/>
                <w:b/>
                <w:bCs/>
                <w:noProof/>
                <w:sz w:val="22"/>
                <w:szCs w:val="22"/>
                <w:lang w:val="id-ID" w:eastAsia="en-ID"/>
              </w:rPr>
              <w:t>No</w:t>
            </w:r>
          </w:p>
        </w:tc>
        <w:tc>
          <w:tcPr>
            <w:tcW w:w="1104" w:type="pct"/>
            <w:vAlign w:val="center"/>
          </w:tcPr>
          <w:p w14:paraId="71682D7F" w14:textId="57DD0691" w:rsidR="00E947CE" w:rsidRPr="00E947CE" w:rsidRDefault="00E947CE" w:rsidP="00E947CE">
            <w:pPr>
              <w:jc w:val="center"/>
              <w:rPr>
                <w:rFonts w:ascii="Times New Roman" w:hAnsi="Times New Roman"/>
                <w:b/>
                <w:bCs/>
                <w:noProof/>
                <w:sz w:val="22"/>
                <w:szCs w:val="22"/>
                <w:lang w:val="id-ID" w:eastAsia="en-ID"/>
              </w:rPr>
            </w:pPr>
            <w:r w:rsidRPr="00E947CE">
              <w:rPr>
                <w:rFonts w:ascii="Times New Roman" w:hAnsi="Times New Roman"/>
                <w:b/>
                <w:bCs/>
                <w:noProof/>
                <w:sz w:val="22"/>
                <w:szCs w:val="22"/>
                <w:lang w:val="id-ID" w:eastAsia="en-ID"/>
              </w:rPr>
              <w:t>Object name</w:t>
            </w:r>
          </w:p>
        </w:tc>
        <w:tc>
          <w:tcPr>
            <w:tcW w:w="543" w:type="pct"/>
            <w:vAlign w:val="center"/>
          </w:tcPr>
          <w:p w14:paraId="48C41DB1" w14:textId="5551DA57"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b/>
                <w:bCs/>
                <w:noProof/>
                <w:sz w:val="22"/>
                <w:szCs w:val="22"/>
                <w:lang w:val="id-ID" w:eastAsia="en-ID"/>
              </w:rPr>
              <w:t>No</w:t>
            </w:r>
          </w:p>
        </w:tc>
        <w:tc>
          <w:tcPr>
            <w:tcW w:w="963" w:type="pct"/>
            <w:vAlign w:val="center"/>
          </w:tcPr>
          <w:p w14:paraId="26B3EBD7" w14:textId="40322A80"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b/>
                <w:bCs/>
                <w:noProof/>
                <w:sz w:val="22"/>
                <w:szCs w:val="22"/>
                <w:lang w:val="id-ID" w:eastAsia="en-ID"/>
              </w:rPr>
              <w:t>Object name</w:t>
            </w:r>
          </w:p>
        </w:tc>
      </w:tr>
      <w:tr w:rsidR="00E947CE" w:rsidRPr="00E947CE" w14:paraId="2457F113" w14:textId="753C309A" w:rsidTr="00E947CE">
        <w:tc>
          <w:tcPr>
            <w:tcW w:w="657" w:type="pct"/>
          </w:tcPr>
          <w:p w14:paraId="13B5FC9B" w14:textId="5F9543B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w:t>
            </w:r>
          </w:p>
        </w:tc>
        <w:tc>
          <w:tcPr>
            <w:tcW w:w="1120" w:type="pct"/>
          </w:tcPr>
          <w:p w14:paraId="47A87331" w14:textId="7C54C8A8"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Lapatau Matanna Tikka Tomb Complex</w:t>
            </w:r>
          </w:p>
        </w:tc>
        <w:tc>
          <w:tcPr>
            <w:tcW w:w="613" w:type="pct"/>
          </w:tcPr>
          <w:p w14:paraId="3D7E1D87" w14:textId="5BA2BFC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23</w:t>
            </w:r>
          </w:p>
        </w:tc>
        <w:tc>
          <w:tcPr>
            <w:tcW w:w="1104" w:type="pct"/>
          </w:tcPr>
          <w:p w14:paraId="2A3F896E" w14:textId="0DA51589"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Leang Batti</w:t>
            </w:r>
          </w:p>
        </w:tc>
        <w:tc>
          <w:tcPr>
            <w:tcW w:w="543" w:type="pct"/>
          </w:tcPr>
          <w:p w14:paraId="21216A60" w14:textId="1137D82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45</w:t>
            </w:r>
          </w:p>
        </w:tc>
        <w:tc>
          <w:tcPr>
            <w:tcW w:w="963" w:type="pct"/>
          </w:tcPr>
          <w:p w14:paraId="19FAA40B" w14:textId="266B15AC"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Akkallejjakeng</w:t>
            </w:r>
          </w:p>
        </w:tc>
      </w:tr>
      <w:tr w:rsidR="00E947CE" w:rsidRPr="00E947CE" w14:paraId="18359254" w14:textId="6BC764FD" w:rsidTr="00E947CE">
        <w:tc>
          <w:tcPr>
            <w:tcW w:w="657" w:type="pct"/>
          </w:tcPr>
          <w:p w14:paraId="5CC82A4F" w14:textId="752B3D59"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2</w:t>
            </w:r>
          </w:p>
        </w:tc>
        <w:tc>
          <w:tcPr>
            <w:tcW w:w="1120" w:type="pct"/>
          </w:tcPr>
          <w:p w14:paraId="060C12B0" w14:textId="16DD85A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King Lamuru Ancient Tomb Complex</w:t>
            </w:r>
          </w:p>
        </w:tc>
        <w:tc>
          <w:tcPr>
            <w:tcW w:w="613" w:type="pct"/>
          </w:tcPr>
          <w:p w14:paraId="15DE712C" w14:textId="4B5E31E9"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24</w:t>
            </w:r>
          </w:p>
        </w:tc>
        <w:tc>
          <w:tcPr>
            <w:tcW w:w="1104" w:type="pct"/>
          </w:tcPr>
          <w:p w14:paraId="11A859AA" w14:textId="77AD9F58"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Tomb of Laummasa King Bone 2</w:t>
            </w:r>
          </w:p>
        </w:tc>
        <w:tc>
          <w:tcPr>
            <w:tcW w:w="543" w:type="pct"/>
          </w:tcPr>
          <w:p w14:paraId="5B7A23BD" w14:textId="5AC6DBC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46</w:t>
            </w:r>
          </w:p>
        </w:tc>
        <w:tc>
          <w:tcPr>
            <w:tcW w:w="963" w:type="pct"/>
          </w:tcPr>
          <w:p w14:paraId="77B9DDCD" w14:textId="19EAD91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Attuddukeng</w:t>
            </w:r>
          </w:p>
        </w:tc>
      </w:tr>
      <w:tr w:rsidR="00E947CE" w:rsidRPr="00E947CE" w14:paraId="0073C0AA" w14:textId="6E689D6E" w:rsidTr="00E947CE">
        <w:tc>
          <w:tcPr>
            <w:tcW w:w="657" w:type="pct"/>
          </w:tcPr>
          <w:p w14:paraId="5A3B5052" w14:textId="6196C867"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3</w:t>
            </w:r>
          </w:p>
        </w:tc>
        <w:tc>
          <w:tcPr>
            <w:tcW w:w="1120" w:type="pct"/>
          </w:tcPr>
          <w:p w14:paraId="30852F49" w14:textId="70930616"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Bean Cave</w:t>
            </w:r>
          </w:p>
        </w:tc>
        <w:tc>
          <w:tcPr>
            <w:tcW w:w="613" w:type="pct"/>
          </w:tcPr>
          <w:p w14:paraId="2EC1BDC6" w14:textId="535D5EB2"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25</w:t>
            </w:r>
          </w:p>
        </w:tc>
        <w:tc>
          <w:tcPr>
            <w:tcW w:w="1104" w:type="pct"/>
          </w:tcPr>
          <w:p w14:paraId="599A2926" w14:textId="4006B14C"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Janci Cempalagi Cave</w:t>
            </w:r>
          </w:p>
        </w:tc>
        <w:tc>
          <w:tcPr>
            <w:tcW w:w="543" w:type="pct"/>
          </w:tcPr>
          <w:p w14:paraId="3E6C6DF0" w14:textId="5BCC9A42"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47</w:t>
            </w:r>
          </w:p>
        </w:tc>
        <w:tc>
          <w:tcPr>
            <w:tcW w:w="963" w:type="pct"/>
          </w:tcPr>
          <w:p w14:paraId="60C25618" w14:textId="5346B429"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Assingkerukeng</w:t>
            </w:r>
          </w:p>
        </w:tc>
      </w:tr>
      <w:tr w:rsidR="00E947CE" w:rsidRPr="00E947CE" w14:paraId="31087C47" w14:textId="67486FCD" w:rsidTr="00E947CE">
        <w:tc>
          <w:tcPr>
            <w:tcW w:w="657" w:type="pct"/>
          </w:tcPr>
          <w:p w14:paraId="73B2F59F" w14:textId="5A7A6F18"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4</w:t>
            </w:r>
          </w:p>
        </w:tc>
        <w:tc>
          <w:tcPr>
            <w:tcW w:w="1120" w:type="pct"/>
          </w:tcPr>
          <w:p w14:paraId="3385D9FD" w14:textId="2604E2A2"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Laleng Bata Cemetery Complex</w:t>
            </w:r>
          </w:p>
        </w:tc>
        <w:tc>
          <w:tcPr>
            <w:tcW w:w="613" w:type="pct"/>
          </w:tcPr>
          <w:p w14:paraId="7737290B" w14:textId="24771E72"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26</w:t>
            </w:r>
          </w:p>
        </w:tc>
        <w:tc>
          <w:tcPr>
            <w:tcW w:w="1104" w:type="pct"/>
          </w:tcPr>
          <w:p w14:paraId="1A2E8AAD" w14:textId="08D7BAB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Laccokkong ridge</w:t>
            </w:r>
          </w:p>
        </w:tc>
        <w:tc>
          <w:tcPr>
            <w:tcW w:w="543" w:type="pct"/>
          </w:tcPr>
          <w:p w14:paraId="60F5E768" w14:textId="57235E1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48</w:t>
            </w:r>
          </w:p>
        </w:tc>
        <w:tc>
          <w:tcPr>
            <w:tcW w:w="963" w:type="pct"/>
          </w:tcPr>
          <w:p w14:paraId="54BB7C1D" w14:textId="02DC8C9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Akkarebbeseng</w:t>
            </w:r>
          </w:p>
        </w:tc>
      </w:tr>
      <w:tr w:rsidR="00E947CE" w:rsidRPr="00E947CE" w14:paraId="03A72A4E" w14:textId="43EF4358" w:rsidTr="00E947CE">
        <w:tc>
          <w:tcPr>
            <w:tcW w:w="657" w:type="pct"/>
          </w:tcPr>
          <w:p w14:paraId="2D948091" w14:textId="620B4617"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5</w:t>
            </w:r>
          </w:p>
        </w:tc>
        <w:tc>
          <w:tcPr>
            <w:tcW w:w="1120" w:type="pct"/>
          </w:tcPr>
          <w:p w14:paraId="35150D2C" w14:textId="658CBF24"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Lamuru Ancient Mosque</w:t>
            </w:r>
          </w:p>
        </w:tc>
        <w:tc>
          <w:tcPr>
            <w:tcW w:w="613" w:type="pct"/>
          </w:tcPr>
          <w:p w14:paraId="174499AF" w14:textId="638DB04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27</w:t>
            </w:r>
          </w:p>
        </w:tc>
        <w:tc>
          <w:tcPr>
            <w:tcW w:w="1104" w:type="pct"/>
          </w:tcPr>
          <w:p w14:paraId="3DC89A2D" w14:textId="4DB16D36"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Tello ridge</w:t>
            </w:r>
          </w:p>
        </w:tc>
        <w:tc>
          <w:tcPr>
            <w:tcW w:w="543" w:type="pct"/>
          </w:tcPr>
          <w:p w14:paraId="4CF75186" w14:textId="2AB7986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49</w:t>
            </w:r>
          </w:p>
        </w:tc>
        <w:tc>
          <w:tcPr>
            <w:tcW w:w="963" w:type="pct"/>
          </w:tcPr>
          <w:p w14:paraId="46FF5141" w14:textId="605E241F"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Manurungw Rimatajang site</w:t>
            </w:r>
          </w:p>
        </w:tc>
      </w:tr>
      <w:tr w:rsidR="00E947CE" w:rsidRPr="00E947CE" w14:paraId="1AB8B84E" w14:textId="1F72016C" w:rsidTr="00E947CE">
        <w:tc>
          <w:tcPr>
            <w:tcW w:w="657" w:type="pct"/>
          </w:tcPr>
          <w:p w14:paraId="3F0E933B" w14:textId="169C9367"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6</w:t>
            </w:r>
          </w:p>
        </w:tc>
        <w:tc>
          <w:tcPr>
            <w:tcW w:w="1120" w:type="pct"/>
          </w:tcPr>
          <w:p w14:paraId="2D330E4F" w14:textId="0FCF9D9A"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Datu Baringeng Tomb Complex</w:t>
            </w:r>
          </w:p>
        </w:tc>
        <w:tc>
          <w:tcPr>
            <w:tcW w:w="613" w:type="pct"/>
          </w:tcPr>
          <w:p w14:paraId="5D8A72DF" w14:textId="2ADDE5D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28</w:t>
            </w:r>
          </w:p>
        </w:tc>
        <w:tc>
          <w:tcPr>
            <w:tcW w:w="1104" w:type="pct"/>
          </w:tcPr>
          <w:p w14:paraId="2365CF26" w14:textId="1DC7ABEC"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Bangkalae Land Site</w:t>
            </w:r>
          </w:p>
        </w:tc>
        <w:tc>
          <w:tcPr>
            <w:tcW w:w="543" w:type="pct"/>
          </w:tcPr>
          <w:p w14:paraId="73AD47CD" w14:textId="101B3A67"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50</w:t>
            </w:r>
          </w:p>
        </w:tc>
        <w:tc>
          <w:tcPr>
            <w:tcW w:w="963" w:type="pct"/>
          </w:tcPr>
          <w:p w14:paraId="59A86CD2" w14:textId="60EAAD27"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La Pawawoi Karaeng Sigeri Museum</w:t>
            </w:r>
          </w:p>
        </w:tc>
      </w:tr>
      <w:tr w:rsidR="00E947CE" w:rsidRPr="00E947CE" w14:paraId="5FFF65C5" w14:textId="4F8F3BEA" w:rsidTr="00E947CE">
        <w:tc>
          <w:tcPr>
            <w:tcW w:w="657" w:type="pct"/>
          </w:tcPr>
          <w:p w14:paraId="3B834661" w14:textId="29778667"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7</w:t>
            </w:r>
          </w:p>
        </w:tc>
        <w:tc>
          <w:tcPr>
            <w:tcW w:w="1120" w:type="pct"/>
          </w:tcPr>
          <w:p w14:paraId="362FBA00" w14:textId="696BF84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La Paijo Tomb Complex</w:t>
            </w:r>
          </w:p>
        </w:tc>
        <w:tc>
          <w:tcPr>
            <w:tcW w:w="613" w:type="pct"/>
          </w:tcPr>
          <w:p w14:paraId="11F40EEB" w14:textId="6E21AED6"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29</w:t>
            </w:r>
          </w:p>
        </w:tc>
        <w:tc>
          <w:tcPr>
            <w:tcW w:w="1104" w:type="pct"/>
          </w:tcPr>
          <w:p w14:paraId="5AECFD40" w14:textId="1D3D342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Subbie Ball Carving</w:t>
            </w:r>
          </w:p>
        </w:tc>
        <w:tc>
          <w:tcPr>
            <w:tcW w:w="543" w:type="pct"/>
          </w:tcPr>
          <w:p w14:paraId="44FA72CC" w14:textId="500702C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51</w:t>
            </w:r>
          </w:p>
        </w:tc>
        <w:tc>
          <w:tcPr>
            <w:tcW w:w="963" w:type="pct"/>
          </w:tcPr>
          <w:p w14:paraId="5712E070" w14:textId="3803609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Arajang Museum</w:t>
            </w:r>
          </w:p>
        </w:tc>
      </w:tr>
      <w:tr w:rsidR="00E947CE" w:rsidRPr="00E947CE" w14:paraId="2D79EE60" w14:textId="49B61DBC" w:rsidTr="00E947CE">
        <w:tc>
          <w:tcPr>
            <w:tcW w:w="657" w:type="pct"/>
          </w:tcPr>
          <w:p w14:paraId="63F01340" w14:textId="749E67AF"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8</w:t>
            </w:r>
          </w:p>
        </w:tc>
        <w:tc>
          <w:tcPr>
            <w:tcW w:w="1120" w:type="pct"/>
          </w:tcPr>
          <w:p w14:paraId="0C1F728B" w14:textId="7BFCA00D"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Saoraja Petta Ponggawae (buckwheat ball)</w:t>
            </w:r>
          </w:p>
        </w:tc>
        <w:tc>
          <w:tcPr>
            <w:tcW w:w="613" w:type="pct"/>
          </w:tcPr>
          <w:p w14:paraId="653D9180" w14:textId="2595201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30</w:t>
            </w:r>
          </w:p>
        </w:tc>
        <w:tc>
          <w:tcPr>
            <w:tcW w:w="1104" w:type="pct"/>
          </w:tcPr>
          <w:p w14:paraId="0603BE1C" w14:textId="64FDC91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Tamalate Agreement (Sitettong Surange Na La Teya Riduni)</w:t>
            </w:r>
          </w:p>
        </w:tc>
        <w:tc>
          <w:tcPr>
            <w:tcW w:w="543" w:type="pct"/>
          </w:tcPr>
          <w:p w14:paraId="6A9F86BE" w14:textId="77180E9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52</w:t>
            </w:r>
          </w:p>
        </w:tc>
        <w:tc>
          <w:tcPr>
            <w:tcW w:w="963" w:type="pct"/>
          </w:tcPr>
          <w:p w14:paraId="050111E0" w14:textId="70F44FC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State Junior High School 2 Watampone Building (Tjina School)</w:t>
            </w:r>
          </w:p>
        </w:tc>
      </w:tr>
      <w:tr w:rsidR="00E947CE" w:rsidRPr="00E947CE" w14:paraId="7C8573BA" w14:textId="36B105F2" w:rsidTr="00E947CE">
        <w:tc>
          <w:tcPr>
            <w:tcW w:w="657" w:type="pct"/>
          </w:tcPr>
          <w:p w14:paraId="39BAB556" w14:textId="67A67E68"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9</w:t>
            </w:r>
          </w:p>
        </w:tc>
        <w:tc>
          <w:tcPr>
            <w:tcW w:w="1120" w:type="pct"/>
          </w:tcPr>
          <w:p w14:paraId="4ACB83A0" w14:textId="794C3D43"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Batu Mabbola Tomb Complex</w:t>
            </w:r>
          </w:p>
        </w:tc>
        <w:tc>
          <w:tcPr>
            <w:tcW w:w="613" w:type="pct"/>
          </w:tcPr>
          <w:p w14:paraId="30B68E64" w14:textId="7CD7193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31</w:t>
            </w:r>
          </w:p>
        </w:tc>
        <w:tc>
          <w:tcPr>
            <w:tcW w:w="1104" w:type="pct"/>
          </w:tcPr>
          <w:p w14:paraId="66816605" w14:textId="62F03A8F"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Tomb of La Pattikeng Whitewater Palakka</w:t>
            </w:r>
          </w:p>
        </w:tc>
        <w:tc>
          <w:tcPr>
            <w:tcW w:w="543" w:type="pct"/>
          </w:tcPr>
          <w:p w14:paraId="403DE6E3" w14:textId="35037477"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53</w:t>
            </w:r>
          </w:p>
        </w:tc>
        <w:tc>
          <w:tcPr>
            <w:tcW w:w="963" w:type="pct"/>
          </w:tcPr>
          <w:p w14:paraId="21CF615E" w14:textId="6097BE0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Al-Mujahideen Old Mosque</w:t>
            </w:r>
          </w:p>
        </w:tc>
      </w:tr>
      <w:tr w:rsidR="00E947CE" w:rsidRPr="00E947CE" w14:paraId="3FD1D205" w14:textId="169B8B86" w:rsidTr="00E947CE">
        <w:tc>
          <w:tcPr>
            <w:tcW w:w="657" w:type="pct"/>
          </w:tcPr>
          <w:p w14:paraId="26B5A846" w14:textId="38616F8D"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10</w:t>
            </w:r>
          </w:p>
        </w:tc>
        <w:tc>
          <w:tcPr>
            <w:tcW w:w="1120" w:type="pct"/>
          </w:tcPr>
          <w:p w14:paraId="22054918" w14:textId="0D0154BC"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The Palace of the King of Bone</w:t>
            </w:r>
          </w:p>
        </w:tc>
        <w:tc>
          <w:tcPr>
            <w:tcW w:w="613" w:type="pct"/>
          </w:tcPr>
          <w:p w14:paraId="16D54E9B" w14:textId="071C61F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32</w:t>
            </w:r>
          </w:p>
        </w:tc>
        <w:tc>
          <w:tcPr>
            <w:tcW w:w="1104" w:type="pct"/>
          </w:tcPr>
          <w:p w14:paraId="10353FD1" w14:textId="66E777B4"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Lallongka bung</w:t>
            </w:r>
          </w:p>
        </w:tc>
        <w:tc>
          <w:tcPr>
            <w:tcW w:w="543" w:type="pct"/>
          </w:tcPr>
          <w:p w14:paraId="684448A7" w14:textId="58E823F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54</w:t>
            </w:r>
          </w:p>
        </w:tc>
        <w:tc>
          <w:tcPr>
            <w:tcW w:w="963" w:type="pct"/>
          </w:tcPr>
          <w:p w14:paraId="1EA4189E" w14:textId="5CB85999"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Lounge Mosque Dome Urn</w:t>
            </w:r>
          </w:p>
        </w:tc>
      </w:tr>
      <w:tr w:rsidR="00E947CE" w:rsidRPr="00E947CE" w14:paraId="6932D3CE" w14:textId="764451BB" w:rsidTr="00E947CE">
        <w:tc>
          <w:tcPr>
            <w:tcW w:w="657" w:type="pct"/>
          </w:tcPr>
          <w:p w14:paraId="6F72DB69" w14:textId="27523C7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11</w:t>
            </w:r>
          </w:p>
        </w:tc>
        <w:tc>
          <w:tcPr>
            <w:tcW w:w="1120" w:type="pct"/>
          </w:tcPr>
          <w:p w14:paraId="245843EE" w14:textId="18E7758F"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KalokkoE Cemetery Complex</w:t>
            </w:r>
          </w:p>
        </w:tc>
        <w:tc>
          <w:tcPr>
            <w:tcW w:w="613" w:type="pct"/>
          </w:tcPr>
          <w:p w14:paraId="0E153E7D" w14:textId="0295A2E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33</w:t>
            </w:r>
          </w:p>
        </w:tc>
        <w:tc>
          <w:tcPr>
            <w:tcW w:w="1104" w:type="pct"/>
          </w:tcPr>
          <w:p w14:paraId="600AFBC7" w14:textId="4196407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Match Cave</w:t>
            </w:r>
          </w:p>
        </w:tc>
        <w:tc>
          <w:tcPr>
            <w:tcW w:w="543" w:type="pct"/>
          </w:tcPr>
          <w:p w14:paraId="36006F3E" w14:textId="3C3508C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55</w:t>
            </w:r>
          </w:p>
        </w:tc>
        <w:tc>
          <w:tcPr>
            <w:tcW w:w="963" w:type="pct"/>
          </w:tcPr>
          <w:p w14:paraId="49B85E30" w14:textId="599F87F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Ancient Cannon</w:t>
            </w:r>
          </w:p>
        </w:tc>
      </w:tr>
      <w:tr w:rsidR="00E947CE" w:rsidRPr="00E947CE" w14:paraId="322757D4" w14:textId="4D85F449" w:rsidTr="00E947CE">
        <w:tc>
          <w:tcPr>
            <w:tcW w:w="657" w:type="pct"/>
          </w:tcPr>
          <w:p w14:paraId="5DF47793" w14:textId="582F4932"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12</w:t>
            </w:r>
          </w:p>
        </w:tc>
        <w:tc>
          <w:tcPr>
            <w:tcW w:w="1120" w:type="pct"/>
          </w:tcPr>
          <w:p w14:paraId="069C3845" w14:textId="2917EDCA"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Bajoe Fort</w:t>
            </w:r>
          </w:p>
        </w:tc>
        <w:tc>
          <w:tcPr>
            <w:tcW w:w="613" w:type="pct"/>
          </w:tcPr>
          <w:p w14:paraId="1AE5780C" w14:textId="160A2412"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34</w:t>
            </w:r>
          </w:p>
        </w:tc>
        <w:tc>
          <w:tcPr>
            <w:tcW w:w="1104" w:type="pct"/>
          </w:tcPr>
          <w:p w14:paraId="703B2EB0" w14:textId="1E16772C"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Petta Ponggawae's Tomb</w:t>
            </w:r>
          </w:p>
        </w:tc>
        <w:tc>
          <w:tcPr>
            <w:tcW w:w="543" w:type="pct"/>
          </w:tcPr>
          <w:p w14:paraId="26F980A5" w14:textId="5EE6820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56</w:t>
            </w:r>
          </w:p>
        </w:tc>
        <w:tc>
          <w:tcPr>
            <w:tcW w:w="963" w:type="pct"/>
          </w:tcPr>
          <w:p w14:paraId="4CC8F18A" w14:textId="4C17962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Banteng</w:t>
            </w:r>
          </w:p>
        </w:tc>
      </w:tr>
      <w:tr w:rsidR="00E947CE" w:rsidRPr="00E947CE" w14:paraId="7ADEF351" w14:textId="382BB1D8" w:rsidTr="00E947CE">
        <w:tc>
          <w:tcPr>
            <w:tcW w:w="657" w:type="pct"/>
          </w:tcPr>
          <w:p w14:paraId="2A6132AA" w14:textId="3FE8D5F9"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13</w:t>
            </w:r>
          </w:p>
        </w:tc>
        <w:tc>
          <w:tcPr>
            <w:tcW w:w="1120" w:type="pct"/>
          </w:tcPr>
          <w:p w14:paraId="6DE164A5" w14:textId="62658FF1"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Cenrana Fort</w:t>
            </w:r>
          </w:p>
        </w:tc>
        <w:tc>
          <w:tcPr>
            <w:tcW w:w="613" w:type="pct"/>
          </w:tcPr>
          <w:p w14:paraId="6D616A9F" w14:textId="6D4FEC4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35</w:t>
            </w:r>
          </w:p>
        </w:tc>
        <w:tc>
          <w:tcPr>
            <w:tcW w:w="1104" w:type="pct"/>
          </w:tcPr>
          <w:p w14:paraId="4D44507E" w14:textId="2E27ACC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La Teya Riduni</w:t>
            </w:r>
          </w:p>
        </w:tc>
        <w:tc>
          <w:tcPr>
            <w:tcW w:w="543" w:type="pct"/>
          </w:tcPr>
          <w:p w14:paraId="7F527558" w14:textId="431BC0B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57</w:t>
            </w:r>
          </w:p>
        </w:tc>
        <w:tc>
          <w:tcPr>
            <w:tcW w:w="963" w:type="pct"/>
          </w:tcPr>
          <w:p w14:paraId="196CB4EC" w14:textId="1ABDA47F"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Manurung Ri Toro</w:t>
            </w:r>
          </w:p>
        </w:tc>
      </w:tr>
      <w:tr w:rsidR="00E947CE" w:rsidRPr="00E947CE" w14:paraId="35A58B7F" w14:textId="6A29257C" w:rsidTr="00E947CE">
        <w:tc>
          <w:tcPr>
            <w:tcW w:w="657" w:type="pct"/>
          </w:tcPr>
          <w:p w14:paraId="5629617C" w14:textId="785C5873"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14</w:t>
            </w:r>
          </w:p>
        </w:tc>
        <w:tc>
          <w:tcPr>
            <w:tcW w:w="1120" w:type="pct"/>
          </w:tcPr>
          <w:p w14:paraId="0C8DC404" w14:textId="09BA3C73"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Allamungeng Patue Ri Timurung Monument</w:t>
            </w:r>
          </w:p>
        </w:tc>
        <w:tc>
          <w:tcPr>
            <w:tcW w:w="613" w:type="pct"/>
          </w:tcPr>
          <w:p w14:paraId="782DF487" w14:textId="48ADC73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36</w:t>
            </w:r>
          </w:p>
        </w:tc>
        <w:tc>
          <w:tcPr>
            <w:tcW w:w="1104" w:type="pct"/>
          </w:tcPr>
          <w:p w14:paraId="160AD668" w14:textId="4DC16998"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La Makkawa</w:t>
            </w:r>
          </w:p>
        </w:tc>
        <w:tc>
          <w:tcPr>
            <w:tcW w:w="543" w:type="pct"/>
          </w:tcPr>
          <w:p w14:paraId="47900846" w14:textId="0FFCBE6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58</w:t>
            </w:r>
          </w:p>
        </w:tc>
        <w:tc>
          <w:tcPr>
            <w:tcW w:w="963" w:type="pct"/>
          </w:tcPr>
          <w:p w14:paraId="7B9A336D" w14:textId="6E21CC4F"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Datu Kalibong Tomb Complex</w:t>
            </w:r>
          </w:p>
        </w:tc>
      </w:tr>
      <w:tr w:rsidR="00E947CE" w:rsidRPr="00E947CE" w14:paraId="6C54DCD6" w14:textId="1A63DFEA" w:rsidTr="00E947CE">
        <w:tc>
          <w:tcPr>
            <w:tcW w:w="657" w:type="pct"/>
          </w:tcPr>
          <w:p w14:paraId="2AE549E6" w14:textId="21A7F0C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15</w:t>
            </w:r>
          </w:p>
        </w:tc>
        <w:tc>
          <w:tcPr>
            <w:tcW w:w="1120" w:type="pct"/>
          </w:tcPr>
          <w:p w14:paraId="3950D053" w14:textId="42CDDD49"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Site of the Former King's Palace</w:t>
            </w:r>
          </w:p>
        </w:tc>
        <w:tc>
          <w:tcPr>
            <w:tcW w:w="613" w:type="pct"/>
          </w:tcPr>
          <w:p w14:paraId="21BE691D" w14:textId="6EAF1A2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37</w:t>
            </w:r>
          </w:p>
        </w:tc>
        <w:tc>
          <w:tcPr>
            <w:tcW w:w="1104" w:type="pct"/>
          </w:tcPr>
          <w:p w14:paraId="20D341CC" w14:textId="4E8C165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Spear of La Salaga</w:t>
            </w:r>
          </w:p>
        </w:tc>
        <w:tc>
          <w:tcPr>
            <w:tcW w:w="543" w:type="pct"/>
          </w:tcPr>
          <w:p w14:paraId="0491CCBC" w14:textId="6F41503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59</w:t>
            </w:r>
          </w:p>
        </w:tc>
        <w:tc>
          <w:tcPr>
            <w:tcW w:w="963" w:type="pct"/>
          </w:tcPr>
          <w:p w14:paraId="6867E8AA" w14:textId="37AFDEB8"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Ridge Pitue</w:t>
            </w:r>
          </w:p>
        </w:tc>
      </w:tr>
      <w:tr w:rsidR="00E947CE" w:rsidRPr="00E947CE" w14:paraId="4FD1D544" w14:textId="2015F2EA" w:rsidTr="00E947CE">
        <w:tc>
          <w:tcPr>
            <w:tcW w:w="657" w:type="pct"/>
          </w:tcPr>
          <w:p w14:paraId="0EA8F209" w14:textId="71001946"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16</w:t>
            </w:r>
          </w:p>
        </w:tc>
        <w:tc>
          <w:tcPr>
            <w:tcW w:w="1120" w:type="pct"/>
          </w:tcPr>
          <w:p w14:paraId="0259F327" w14:textId="2BD689D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Ancient Cannon Discovery Site</w:t>
            </w:r>
          </w:p>
        </w:tc>
        <w:tc>
          <w:tcPr>
            <w:tcW w:w="613" w:type="pct"/>
          </w:tcPr>
          <w:p w14:paraId="24AEE6BD" w14:textId="6073D1C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38</w:t>
            </w:r>
          </w:p>
        </w:tc>
        <w:tc>
          <w:tcPr>
            <w:tcW w:w="1104" w:type="pct"/>
          </w:tcPr>
          <w:p w14:paraId="64D6B614" w14:textId="5644A29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Pulaweng Congratulations</w:t>
            </w:r>
          </w:p>
        </w:tc>
        <w:tc>
          <w:tcPr>
            <w:tcW w:w="543" w:type="pct"/>
          </w:tcPr>
          <w:p w14:paraId="0514BE13" w14:textId="221ED4D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60</w:t>
            </w:r>
          </w:p>
        </w:tc>
        <w:tc>
          <w:tcPr>
            <w:tcW w:w="963" w:type="pct"/>
          </w:tcPr>
          <w:p w14:paraId="07CC81D3" w14:textId="13D7653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Tombstone Petta Bettae</w:t>
            </w:r>
          </w:p>
        </w:tc>
      </w:tr>
      <w:tr w:rsidR="00E947CE" w:rsidRPr="00E947CE" w14:paraId="22B7B038" w14:textId="2899A2AF" w:rsidTr="00E947CE">
        <w:tc>
          <w:tcPr>
            <w:tcW w:w="657" w:type="pct"/>
          </w:tcPr>
          <w:p w14:paraId="3FEF7117" w14:textId="4951C7AA"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lastRenderedPageBreak/>
              <w:t>17</w:t>
            </w:r>
          </w:p>
        </w:tc>
        <w:tc>
          <w:tcPr>
            <w:tcW w:w="1120" w:type="pct"/>
          </w:tcPr>
          <w:p w14:paraId="5FD25299" w14:textId="6165ADCE"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Capable Cave</w:t>
            </w:r>
          </w:p>
        </w:tc>
        <w:tc>
          <w:tcPr>
            <w:tcW w:w="613" w:type="pct"/>
          </w:tcPr>
          <w:p w14:paraId="456313D3" w14:textId="14C9AB0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39</w:t>
            </w:r>
          </w:p>
        </w:tc>
        <w:tc>
          <w:tcPr>
            <w:tcW w:w="1104" w:type="pct"/>
          </w:tcPr>
          <w:p w14:paraId="04FC6424" w14:textId="17B1FFCF"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Petta Makkaccalae</w:t>
            </w:r>
          </w:p>
        </w:tc>
        <w:tc>
          <w:tcPr>
            <w:tcW w:w="543" w:type="pct"/>
          </w:tcPr>
          <w:p w14:paraId="2902EA58" w14:textId="22AF75C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61</w:t>
            </w:r>
          </w:p>
        </w:tc>
        <w:tc>
          <w:tcPr>
            <w:tcW w:w="963" w:type="pct"/>
          </w:tcPr>
          <w:p w14:paraId="6FE4F27B" w14:textId="40452084"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Petta Makkita Walie's Tomb</w:t>
            </w:r>
          </w:p>
        </w:tc>
      </w:tr>
      <w:tr w:rsidR="00E947CE" w:rsidRPr="00E947CE" w14:paraId="24E8360C" w14:textId="0BBB4A1D" w:rsidTr="00E947CE">
        <w:tc>
          <w:tcPr>
            <w:tcW w:w="657" w:type="pct"/>
          </w:tcPr>
          <w:p w14:paraId="7BF018C0" w14:textId="36FD32A8"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18</w:t>
            </w:r>
          </w:p>
        </w:tc>
        <w:tc>
          <w:tcPr>
            <w:tcW w:w="1120" w:type="pct"/>
          </w:tcPr>
          <w:p w14:paraId="44F277BC" w14:textId="2A8D348B"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Lucky Fortress</w:t>
            </w:r>
          </w:p>
        </w:tc>
        <w:tc>
          <w:tcPr>
            <w:tcW w:w="613" w:type="pct"/>
          </w:tcPr>
          <w:p w14:paraId="7C8B3205" w14:textId="0625865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40</w:t>
            </w:r>
          </w:p>
        </w:tc>
        <w:tc>
          <w:tcPr>
            <w:tcW w:w="1104" w:type="pct"/>
          </w:tcPr>
          <w:p w14:paraId="030AF5A3" w14:textId="689FD39B"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Umbrella Crown</w:t>
            </w:r>
          </w:p>
        </w:tc>
        <w:tc>
          <w:tcPr>
            <w:tcW w:w="543" w:type="pct"/>
          </w:tcPr>
          <w:p w14:paraId="2B16E0FA" w14:textId="5685C1E4"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62</w:t>
            </w:r>
          </w:p>
        </w:tc>
        <w:tc>
          <w:tcPr>
            <w:tcW w:w="963" w:type="pct"/>
          </w:tcPr>
          <w:p w14:paraId="27C19144" w14:textId="646C26D6"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Jarae Ri Lona</w:t>
            </w:r>
          </w:p>
        </w:tc>
      </w:tr>
      <w:tr w:rsidR="00E947CE" w:rsidRPr="00E947CE" w14:paraId="6D547B59" w14:textId="105D71F2" w:rsidTr="00E947CE">
        <w:tc>
          <w:tcPr>
            <w:tcW w:w="657" w:type="pct"/>
          </w:tcPr>
          <w:p w14:paraId="7B6E4086" w14:textId="241AC5DF"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19</w:t>
            </w:r>
          </w:p>
        </w:tc>
        <w:tc>
          <w:tcPr>
            <w:tcW w:w="1120" w:type="pct"/>
          </w:tcPr>
          <w:p w14:paraId="4FAE5089" w14:textId="3225C598"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Lamoncong Situs site</w:t>
            </w:r>
          </w:p>
        </w:tc>
        <w:tc>
          <w:tcPr>
            <w:tcW w:w="613" w:type="pct"/>
          </w:tcPr>
          <w:p w14:paraId="3F8ED899" w14:textId="6E1A19E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41</w:t>
            </w:r>
          </w:p>
        </w:tc>
        <w:tc>
          <w:tcPr>
            <w:tcW w:w="1104" w:type="pct"/>
          </w:tcPr>
          <w:p w14:paraId="66182FE9" w14:textId="7A61A4C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Teddung Pulaweng</w:t>
            </w:r>
          </w:p>
        </w:tc>
        <w:tc>
          <w:tcPr>
            <w:tcW w:w="543" w:type="pct"/>
          </w:tcPr>
          <w:p w14:paraId="6BE9080F" w14:textId="0EFABCDC"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63</w:t>
            </w:r>
          </w:p>
        </w:tc>
        <w:tc>
          <w:tcPr>
            <w:tcW w:w="963" w:type="pct"/>
          </w:tcPr>
          <w:p w14:paraId="65E71BA9" w14:textId="442C0CA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Janggo's Grave Rate</w:t>
            </w:r>
          </w:p>
        </w:tc>
      </w:tr>
      <w:tr w:rsidR="00E947CE" w:rsidRPr="00E947CE" w14:paraId="11EA0E03" w14:textId="4BE4C376" w:rsidTr="00E947CE">
        <w:tc>
          <w:tcPr>
            <w:tcW w:w="657" w:type="pct"/>
          </w:tcPr>
          <w:p w14:paraId="5D0CEE88" w14:textId="68EF30FF"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20</w:t>
            </w:r>
          </w:p>
        </w:tc>
        <w:tc>
          <w:tcPr>
            <w:tcW w:w="1120" w:type="pct"/>
          </w:tcPr>
          <w:p w14:paraId="5427B225" w14:textId="3B3792E9"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Blue Dam Site</w:t>
            </w:r>
          </w:p>
        </w:tc>
        <w:tc>
          <w:tcPr>
            <w:tcW w:w="613" w:type="pct"/>
          </w:tcPr>
          <w:p w14:paraId="2855754E" w14:textId="5E0BBA2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42</w:t>
            </w:r>
          </w:p>
        </w:tc>
        <w:tc>
          <w:tcPr>
            <w:tcW w:w="1104" w:type="pct"/>
          </w:tcPr>
          <w:p w14:paraId="7181FEBC" w14:textId="02F23FC5"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Teddung Salakae</w:t>
            </w:r>
          </w:p>
        </w:tc>
        <w:tc>
          <w:tcPr>
            <w:tcW w:w="543" w:type="pct"/>
          </w:tcPr>
          <w:p w14:paraId="222B5405" w14:textId="22851FD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64</w:t>
            </w:r>
          </w:p>
        </w:tc>
        <w:tc>
          <w:tcPr>
            <w:tcW w:w="963" w:type="pct"/>
          </w:tcPr>
          <w:p w14:paraId="73430899" w14:textId="68243D13"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Soloreng Datue</w:t>
            </w:r>
          </w:p>
        </w:tc>
      </w:tr>
      <w:tr w:rsidR="00E947CE" w:rsidRPr="00E947CE" w14:paraId="4BF6748F" w14:textId="385EE6DA" w:rsidTr="00E947CE">
        <w:tc>
          <w:tcPr>
            <w:tcW w:w="657" w:type="pct"/>
          </w:tcPr>
          <w:p w14:paraId="5B283106" w14:textId="5147DFF0"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21</w:t>
            </w:r>
          </w:p>
        </w:tc>
        <w:tc>
          <w:tcPr>
            <w:tcW w:w="1120" w:type="pct"/>
          </w:tcPr>
          <w:p w14:paraId="2FEDAC44" w14:textId="4D66D274" w:rsidR="00E947CE" w:rsidRPr="00E947CE" w:rsidRDefault="00E947CE" w:rsidP="00E947CE">
            <w:pPr>
              <w:jc w:val="center"/>
              <w:rPr>
                <w:rFonts w:ascii="Times New Roman" w:hAnsi="Times New Roman"/>
                <w:bCs/>
                <w:iCs/>
                <w:noProof/>
                <w:sz w:val="22"/>
                <w:szCs w:val="22"/>
                <w:lang w:val="id-ID"/>
              </w:rPr>
            </w:pPr>
            <w:r w:rsidRPr="00E947CE">
              <w:rPr>
                <w:rFonts w:ascii="Times New Roman" w:hAnsi="Times New Roman"/>
                <w:noProof/>
                <w:color w:val="000000"/>
                <w:sz w:val="22"/>
                <w:szCs w:val="22"/>
                <w:lang w:val="id-ID" w:eastAsia="en-ID"/>
              </w:rPr>
              <w:t>La Tenri Sukki Tomb Complex</w:t>
            </w:r>
          </w:p>
        </w:tc>
        <w:tc>
          <w:tcPr>
            <w:tcW w:w="613" w:type="pct"/>
          </w:tcPr>
          <w:p w14:paraId="2D19E25B" w14:textId="7CA484E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43</w:t>
            </w:r>
          </w:p>
        </w:tc>
        <w:tc>
          <w:tcPr>
            <w:tcW w:w="1104" w:type="pct"/>
          </w:tcPr>
          <w:p w14:paraId="550D99D2" w14:textId="4E8C81A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Genrang Arajang</w:t>
            </w:r>
          </w:p>
        </w:tc>
        <w:tc>
          <w:tcPr>
            <w:tcW w:w="543" w:type="pct"/>
          </w:tcPr>
          <w:p w14:paraId="2BCAFFEE" w14:textId="7F57437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65</w:t>
            </w:r>
          </w:p>
        </w:tc>
        <w:tc>
          <w:tcPr>
            <w:tcW w:w="963" w:type="pct"/>
          </w:tcPr>
          <w:p w14:paraId="25C912EC" w14:textId="51C48EAA"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Tanae's position</w:t>
            </w:r>
          </w:p>
        </w:tc>
      </w:tr>
      <w:tr w:rsidR="00E947CE" w:rsidRPr="00E947CE" w14:paraId="1237FE9C" w14:textId="3930F0F4" w:rsidTr="00E947CE">
        <w:tc>
          <w:tcPr>
            <w:tcW w:w="657" w:type="pct"/>
          </w:tcPr>
          <w:p w14:paraId="309D49F4" w14:textId="7CA1E699"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22</w:t>
            </w:r>
          </w:p>
        </w:tc>
        <w:tc>
          <w:tcPr>
            <w:tcW w:w="1120" w:type="pct"/>
          </w:tcPr>
          <w:p w14:paraId="1D2AE8F7" w14:textId="6A18696D"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Leang Uhallie</w:t>
            </w:r>
          </w:p>
        </w:tc>
        <w:tc>
          <w:tcPr>
            <w:tcW w:w="613" w:type="pct"/>
          </w:tcPr>
          <w:p w14:paraId="063BF733" w14:textId="45915F87"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44</w:t>
            </w:r>
          </w:p>
        </w:tc>
        <w:tc>
          <w:tcPr>
            <w:tcW w:w="1104" w:type="pct"/>
          </w:tcPr>
          <w:p w14:paraId="45871600" w14:textId="750A8B37"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Tellumpoccoe Covenant Text</w:t>
            </w:r>
          </w:p>
        </w:tc>
        <w:tc>
          <w:tcPr>
            <w:tcW w:w="543" w:type="pct"/>
          </w:tcPr>
          <w:p w14:paraId="25988B32" w14:textId="308BC0A1"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66</w:t>
            </w:r>
          </w:p>
        </w:tc>
        <w:tc>
          <w:tcPr>
            <w:tcW w:w="963" w:type="pct"/>
          </w:tcPr>
          <w:p w14:paraId="6820CCBC" w14:textId="7C69BFDE" w:rsidR="00E947CE" w:rsidRPr="00E947CE" w:rsidRDefault="00E947CE" w:rsidP="00E947CE">
            <w:pPr>
              <w:jc w:val="center"/>
              <w:rPr>
                <w:rFonts w:ascii="Times New Roman" w:hAnsi="Times New Roman"/>
                <w:noProof/>
                <w:color w:val="000000"/>
                <w:sz w:val="22"/>
                <w:szCs w:val="22"/>
                <w:lang w:val="id-ID" w:eastAsia="en-ID"/>
              </w:rPr>
            </w:pPr>
            <w:r w:rsidRPr="00E947CE">
              <w:rPr>
                <w:rFonts w:ascii="Times New Roman" w:hAnsi="Times New Roman"/>
                <w:noProof/>
                <w:color w:val="000000"/>
                <w:sz w:val="22"/>
                <w:szCs w:val="22"/>
                <w:lang w:val="id-ID" w:eastAsia="en-ID"/>
              </w:rPr>
              <w:t>Tomb of Lapabbenteng Petta Lawa Raja Bone 33</w:t>
            </w:r>
          </w:p>
        </w:tc>
      </w:tr>
    </w:tbl>
    <w:p w14:paraId="00963AEA" w14:textId="77777777" w:rsidR="00341019" w:rsidRPr="00341019" w:rsidRDefault="00341019" w:rsidP="00341019">
      <w:pPr>
        <w:ind w:left="-142"/>
        <w:jc w:val="center"/>
        <w:rPr>
          <w:noProof/>
          <w:szCs w:val="24"/>
          <w:lang w:val="id-ID"/>
        </w:rPr>
      </w:pPr>
      <w:r w:rsidRPr="00341019">
        <w:rPr>
          <w:noProof/>
          <w:szCs w:val="24"/>
          <w:lang w:val="id-ID"/>
        </w:rPr>
        <w:t>Source: Bone Regency Culture Office, 2022</w:t>
      </w:r>
    </w:p>
    <w:p w14:paraId="7238D584" w14:textId="77777777" w:rsidR="00341019" w:rsidRPr="00341019" w:rsidRDefault="00341019" w:rsidP="00341019">
      <w:pPr>
        <w:ind w:left="-142"/>
        <w:jc w:val="center"/>
        <w:rPr>
          <w:noProof/>
          <w:szCs w:val="24"/>
          <w:lang w:val="id-ID"/>
        </w:rPr>
      </w:pPr>
    </w:p>
    <w:p w14:paraId="1E5ED01E" w14:textId="77777777" w:rsidR="00341019" w:rsidRPr="00341019" w:rsidRDefault="00341019" w:rsidP="00341019">
      <w:pPr>
        <w:spacing w:after="120"/>
        <w:ind w:firstLine="357"/>
        <w:jc w:val="both"/>
        <w:rPr>
          <w:noProof/>
          <w:szCs w:val="24"/>
          <w:lang w:val="id-ID"/>
        </w:rPr>
      </w:pPr>
      <w:r w:rsidRPr="00341019">
        <w:rPr>
          <w:noProof/>
          <w:szCs w:val="24"/>
          <w:lang w:val="id-ID"/>
        </w:rPr>
        <w:t>To support the preservation of cultural heritage, the Regional Government of Bone Regency has stipulated Regional Regulation Number 7 of 2020 concerning the preservation and management of Cultural Conservation. Along with the issuance of the Regional Regulation, the Bone Regency Culture Office 2022 has formed and established a Regency/City Level Cultural Heritage Expert Team, it is hoped that in the future the preservation of cultural heritage in Bone can be more optimal. The following is a list of the names of the Bone Cultural Conservation Expert Team.</w:t>
      </w:r>
    </w:p>
    <w:p w14:paraId="07C76308" w14:textId="5372AF38" w:rsidR="00341019" w:rsidRPr="00341019" w:rsidRDefault="00341019" w:rsidP="00341019">
      <w:pPr>
        <w:jc w:val="center"/>
        <w:rPr>
          <w:b/>
          <w:noProof/>
          <w:szCs w:val="24"/>
          <w:lang w:val="id-ID"/>
        </w:rPr>
      </w:pPr>
      <w:bookmarkStart w:id="8" w:name="_Toc101707631"/>
      <w:r w:rsidRPr="00341019">
        <w:rPr>
          <w:b/>
          <w:noProof/>
          <w:szCs w:val="24"/>
          <w:lang w:val="id-ID"/>
        </w:rPr>
        <w:t>Table</w:t>
      </w:r>
      <w:r w:rsidRPr="00341019">
        <w:rPr>
          <w:b/>
          <w:noProof/>
          <w:szCs w:val="24"/>
        </w:rPr>
        <w:t xml:space="preserve"> </w:t>
      </w:r>
      <w:r w:rsidRPr="00341019">
        <w:rPr>
          <w:b/>
          <w:noProof/>
          <w:szCs w:val="24"/>
          <w:lang w:val="id-ID"/>
        </w:rPr>
        <w:fldChar w:fldCharType="begin"/>
      </w:r>
      <w:r w:rsidRPr="00341019">
        <w:rPr>
          <w:b/>
          <w:noProof/>
          <w:szCs w:val="24"/>
          <w:lang w:val="id-ID"/>
        </w:rPr>
        <w:instrText xml:space="preserve"> SEQ Tabel \* ARABIC </w:instrText>
      </w:r>
      <w:r w:rsidRPr="00341019">
        <w:rPr>
          <w:b/>
          <w:noProof/>
          <w:szCs w:val="24"/>
          <w:lang w:val="id-ID"/>
        </w:rPr>
        <w:fldChar w:fldCharType="separate"/>
      </w:r>
      <w:r w:rsidR="00E02BE2">
        <w:rPr>
          <w:b/>
          <w:noProof/>
          <w:szCs w:val="24"/>
          <w:lang w:val="id-ID"/>
        </w:rPr>
        <w:t>3</w:t>
      </w:r>
      <w:r w:rsidRPr="00341019">
        <w:rPr>
          <w:b/>
          <w:noProof/>
          <w:szCs w:val="24"/>
          <w:lang w:val="id-ID"/>
        </w:rPr>
        <w:fldChar w:fldCharType="end"/>
      </w:r>
      <w:r w:rsidRPr="00341019">
        <w:rPr>
          <w:b/>
          <w:noProof/>
          <w:szCs w:val="24"/>
          <w:lang w:val="id-ID"/>
        </w:rPr>
        <w:t>.</w:t>
      </w:r>
      <w:bookmarkEnd w:id="8"/>
      <w:r w:rsidRPr="00341019">
        <w:rPr>
          <w:b/>
          <w:noProof/>
          <w:szCs w:val="24"/>
        </w:rPr>
        <w:t xml:space="preserve"> </w:t>
      </w:r>
      <w:r w:rsidRPr="00341019">
        <w:rPr>
          <w:b/>
          <w:noProof/>
          <w:szCs w:val="24"/>
          <w:lang w:val="id-ID"/>
        </w:rPr>
        <w:t>Bone Cultural Heritage Expert Team</w:t>
      </w:r>
    </w:p>
    <w:tbl>
      <w:tblPr>
        <w:tblW w:w="0" w:type="auto"/>
        <w:jc w:val="center"/>
        <w:tblLook w:val="04A0" w:firstRow="1" w:lastRow="0" w:firstColumn="1" w:lastColumn="0" w:noHBand="0" w:noVBand="1"/>
      </w:tblPr>
      <w:tblGrid>
        <w:gridCol w:w="567"/>
        <w:gridCol w:w="3544"/>
        <w:gridCol w:w="1843"/>
        <w:gridCol w:w="3242"/>
      </w:tblGrid>
      <w:tr w:rsidR="00341019" w:rsidRPr="00E947CE" w14:paraId="2FB45192" w14:textId="77777777" w:rsidTr="00E947CE">
        <w:trPr>
          <w:trHeight w:val="23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EE6E7" w14:textId="77777777" w:rsidR="00341019" w:rsidRPr="00E947CE" w:rsidRDefault="00341019" w:rsidP="00E947CE">
            <w:pPr>
              <w:jc w:val="center"/>
              <w:rPr>
                <w:b/>
                <w:bCs/>
                <w:noProof/>
                <w:sz w:val="22"/>
                <w:szCs w:val="22"/>
                <w:lang w:val="id-ID" w:eastAsia="en-ID"/>
              </w:rPr>
            </w:pPr>
            <w:r w:rsidRPr="00E947CE">
              <w:rPr>
                <w:b/>
                <w:bCs/>
                <w:noProof/>
                <w:sz w:val="22"/>
                <w:szCs w:val="22"/>
                <w:lang w:val="id-ID" w:eastAsia="en-ID"/>
              </w:rPr>
              <w:t>No</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D5CD9DA" w14:textId="77777777" w:rsidR="00341019" w:rsidRPr="00E947CE" w:rsidRDefault="00341019" w:rsidP="00E947CE">
            <w:pPr>
              <w:jc w:val="center"/>
              <w:rPr>
                <w:b/>
                <w:bCs/>
                <w:noProof/>
                <w:sz w:val="22"/>
                <w:szCs w:val="22"/>
                <w:lang w:val="id-ID" w:eastAsia="en-ID"/>
              </w:rPr>
            </w:pPr>
            <w:r w:rsidRPr="00E947CE">
              <w:rPr>
                <w:b/>
                <w:bCs/>
                <w:noProof/>
                <w:sz w:val="22"/>
                <w:szCs w:val="22"/>
                <w:lang w:val="id-ID" w:eastAsia="en-ID"/>
              </w:rPr>
              <w:t>Name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E1E40EF" w14:textId="77777777" w:rsidR="00341019" w:rsidRPr="00E947CE" w:rsidRDefault="00341019" w:rsidP="00E947CE">
            <w:pPr>
              <w:jc w:val="center"/>
              <w:rPr>
                <w:b/>
                <w:bCs/>
                <w:noProof/>
                <w:sz w:val="22"/>
                <w:szCs w:val="22"/>
                <w:lang w:val="id-ID" w:eastAsia="en-ID"/>
              </w:rPr>
            </w:pPr>
            <w:r w:rsidRPr="00E947CE">
              <w:rPr>
                <w:b/>
                <w:bCs/>
                <w:noProof/>
                <w:sz w:val="22"/>
                <w:szCs w:val="22"/>
                <w:lang w:val="id-ID" w:eastAsia="en-ID"/>
              </w:rPr>
              <w:t>Work</w:t>
            </w:r>
          </w:p>
        </w:tc>
        <w:tc>
          <w:tcPr>
            <w:tcW w:w="3242" w:type="dxa"/>
            <w:tcBorders>
              <w:top w:val="single" w:sz="4" w:space="0" w:color="auto"/>
              <w:left w:val="nil"/>
              <w:bottom w:val="single" w:sz="4" w:space="0" w:color="auto"/>
              <w:right w:val="single" w:sz="4" w:space="0" w:color="auto"/>
            </w:tcBorders>
            <w:shd w:val="clear" w:color="auto" w:fill="auto"/>
            <w:noWrap/>
            <w:vAlign w:val="center"/>
            <w:hideMark/>
          </w:tcPr>
          <w:p w14:paraId="49ADE844" w14:textId="77777777" w:rsidR="00341019" w:rsidRPr="00E947CE" w:rsidRDefault="00341019" w:rsidP="00E947CE">
            <w:pPr>
              <w:jc w:val="center"/>
              <w:rPr>
                <w:b/>
                <w:bCs/>
                <w:noProof/>
                <w:sz w:val="22"/>
                <w:szCs w:val="22"/>
                <w:lang w:val="id-ID" w:eastAsia="en-ID"/>
              </w:rPr>
            </w:pPr>
            <w:r w:rsidRPr="00E947CE">
              <w:rPr>
                <w:b/>
                <w:bCs/>
                <w:noProof/>
                <w:sz w:val="22"/>
                <w:szCs w:val="22"/>
                <w:lang w:val="id-ID" w:eastAsia="en-ID"/>
              </w:rPr>
              <w:t>Training Type</w:t>
            </w:r>
          </w:p>
        </w:tc>
      </w:tr>
      <w:tr w:rsidR="00341019" w:rsidRPr="00E947CE" w14:paraId="2C330DE8" w14:textId="77777777" w:rsidTr="00E947CE">
        <w:trPr>
          <w:trHeight w:val="551"/>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AA11DA" w14:textId="77777777" w:rsidR="00341019" w:rsidRPr="00E947CE" w:rsidRDefault="00341019" w:rsidP="00E947CE">
            <w:pPr>
              <w:jc w:val="center"/>
              <w:rPr>
                <w:noProof/>
                <w:color w:val="000000"/>
                <w:sz w:val="22"/>
                <w:szCs w:val="22"/>
                <w:lang w:val="id-ID" w:eastAsia="en-ID"/>
              </w:rPr>
            </w:pPr>
            <w:r w:rsidRPr="00E947CE">
              <w:rPr>
                <w:noProof/>
                <w:color w:val="000000"/>
                <w:sz w:val="22"/>
                <w:szCs w:val="22"/>
                <w:lang w:val="id-ID" w:eastAsia="en-ID"/>
              </w:rPr>
              <w:t>1</w:t>
            </w:r>
          </w:p>
        </w:tc>
        <w:tc>
          <w:tcPr>
            <w:tcW w:w="3544" w:type="dxa"/>
            <w:tcBorders>
              <w:top w:val="nil"/>
              <w:left w:val="nil"/>
              <w:bottom w:val="single" w:sz="4" w:space="0" w:color="auto"/>
              <w:right w:val="single" w:sz="4" w:space="0" w:color="auto"/>
            </w:tcBorders>
            <w:shd w:val="clear" w:color="auto" w:fill="auto"/>
            <w:noWrap/>
            <w:vAlign w:val="center"/>
            <w:hideMark/>
          </w:tcPr>
          <w:p w14:paraId="1E7B9A6F"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Dr. Muhlis Hadawi, SS., M. Hum.</w:t>
            </w:r>
          </w:p>
        </w:tc>
        <w:tc>
          <w:tcPr>
            <w:tcW w:w="1843" w:type="dxa"/>
            <w:tcBorders>
              <w:top w:val="nil"/>
              <w:left w:val="nil"/>
              <w:bottom w:val="single" w:sz="4" w:space="0" w:color="auto"/>
              <w:right w:val="single" w:sz="4" w:space="0" w:color="auto"/>
            </w:tcBorders>
            <w:shd w:val="clear" w:color="auto" w:fill="auto"/>
            <w:noWrap/>
            <w:vAlign w:val="center"/>
            <w:hideMark/>
          </w:tcPr>
          <w:p w14:paraId="06E05DAF"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ASN / Fac. Cultural Studies UNHAS</w:t>
            </w:r>
          </w:p>
        </w:tc>
        <w:tc>
          <w:tcPr>
            <w:tcW w:w="3242" w:type="dxa"/>
            <w:tcBorders>
              <w:top w:val="nil"/>
              <w:left w:val="nil"/>
              <w:bottom w:val="single" w:sz="4" w:space="0" w:color="auto"/>
              <w:right w:val="single" w:sz="4" w:space="0" w:color="auto"/>
            </w:tcBorders>
            <w:shd w:val="clear" w:color="auto" w:fill="auto"/>
            <w:noWrap/>
            <w:vAlign w:val="center"/>
            <w:hideMark/>
          </w:tcPr>
          <w:p w14:paraId="6876AF61"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Cultural heritage expert certification and competency test</w:t>
            </w:r>
          </w:p>
        </w:tc>
      </w:tr>
      <w:tr w:rsidR="00341019" w:rsidRPr="00E947CE" w14:paraId="79DF91C4" w14:textId="77777777" w:rsidTr="00E947CE">
        <w:trPr>
          <w:trHeight w:val="6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A945D0" w14:textId="77777777" w:rsidR="00341019" w:rsidRPr="00E947CE" w:rsidRDefault="00341019" w:rsidP="00E947CE">
            <w:pPr>
              <w:jc w:val="center"/>
              <w:rPr>
                <w:noProof/>
                <w:color w:val="000000"/>
                <w:sz w:val="22"/>
                <w:szCs w:val="22"/>
                <w:lang w:val="id-ID" w:eastAsia="en-ID"/>
              </w:rPr>
            </w:pPr>
            <w:r w:rsidRPr="00E947CE">
              <w:rPr>
                <w:noProof/>
                <w:color w:val="000000"/>
                <w:sz w:val="22"/>
                <w:szCs w:val="22"/>
                <w:lang w:val="id-ID" w:eastAsia="en-ID"/>
              </w:rPr>
              <w:t>2</w:t>
            </w:r>
          </w:p>
        </w:tc>
        <w:tc>
          <w:tcPr>
            <w:tcW w:w="3544" w:type="dxa"/>
            <w:tcBorders>
              <w:top w:val="nil"/>
              <w:left w:val="nil"/>
              <w:bottom w:val="single" w:sz="4" w:space="0" w:color="auto"/>
              <w:right w:val="single" w:sz="4" w:space="0" w:color="auto"/>
            </w:tcBorders>
            <w:shd w:val="clear" w:color="auto" w:fill="auto"/>
            <w:noWrap/>
            <w:vAlign w:val="center"/>
            <w:hideMark/>
          </w:tcPr>
          <w:p w14:paraId="21E80FCF"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Andi Irfandi, ST., MH</w:t>
            </w:r>
          </w:p>
        </w:tc>
        <w:tc>
          <w:tcPr>
            <w:tcW w:w="1843" w:type="dxa"/>
            <w:tcBorders>
              <w:top w:val="nil"/>
              <w:left w:val="nil"/>
              <w:bottom w:val="single" w:sz="4" w:space="0" w:color="auto"/>
              <w:right w:val="single" w:sz="4" w:space="0" w:color="auto"/>
            </w:tcBorders>
            <w:shd w:val="clear" w:color="auto" w:fill="auto"/>
            <w:noWrap/>
            <w:vAlign w:val="center"/>
            <w:hideMark/>
          </w:tcPr>
          <w:p w14:paraId="5EB34A78"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ASN/ DISBUD Bone</w:t>
            </w:r>
          </w:p>
        </w:tc>
        <w:tc>
          <w:tcPr>
            <w:tcW w:w="3242" w:type="dxa"/>
            <w:tcBorders>
              <w:top w:val="nil"/>
              <w:left w:val="nil"/>
              <w:bottom w:val="single" w:sz="4" w:space="0" w:color="auto"/>
              <w:right w:val="single" w:sz="4" w:space="0" w:color="auto"/>
            </w:tcBorders>
            <w:shd w:val="clear" w:color="auto" w:fill="auto"/>
            <w:noWrap/>
            <w:vAlign w:val="center"/>
            <w:hideMark/>
          </w:tcPr>
          <w:p w14:paraId="1F3CC85E"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Cultural heritage expert certification and competency test</w:t>
            </w:r>
          </w:p>
        </w:tc>
      </w:tr>
      <w:tr w:rsidR="00341019" w:rsidRPr="00E947CE" w14:paraId="7A141544" w14:textId="77777777" w:rsidTr="00E947CE">
        <w:trPr>
          <w:trHeight w:val="52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E80152" w14:textId="77777777" w:rsidR="00341019" w:rsidRPr="00E947CE" w:rsidRDefault="00341019" w:rsidP="00E947CE">
            <w:pPr>
              <w:jc w:val="center"/>
              <w:rPr>
                <w:noProof/>
                <w:color w:val="000000"/>
                <w:sz w:val="22"/>
                <w:szCs w:val="22"/>
                <w:lang w:val="id-ID" w:eastAsia="en-ID"/>
              </w:rPr>
            </w:pPr>
            <w:r w:rsidRPr="00E947CE">
              <w:rPr>
                <w:noProof/>
                <w:color w:val="000000"/>
                <w:sz w:val="22"/>
                <w:szCs w:val="22"/>
                <w:lang w:val="id-ID" w:eastAsia="en-ID"/>
              </w:rPr>
              <w:t>3</w:t>
            </w:r>
          </w:p>
        </w:tc>
        <w:tc>
          <w:tcPr>
            <w:tcW w:w="3544" w:type="dxa"/>
            <w:tcBorders>
              <w:top w:val="nil"/>
              <w:left w:val="nil"/>
              <w:bottom w:val="single" w:sz="4" w:space="0" w:color="auto"/>
              <w:right w:val="single" w:sz="4" w:space="0" w:color="auto"/>
            </w:tcBorders>
            <w:shd w:val="clear" w:color="auto" w:fill="auto"/>
            <w:noWrap/>
            <w:vAlign w:val="center"/>
            <w:hideMark/>
          </w:tcPr>
          <w:p w14:paraId="2F8756AB"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Dr. Andi Moh. Akhmar, SS., M. Hum.</w:t>
            </w:r>
          </w:p>
        </w:tc>
        <w:tc>
          <w:tcPr>
            <w:tcW w:w="1843" w:type="dxa"/>
            <w:tcBorders>
              <w:top w:val="nil"/>
              <w:left w:val="nil"/>
              <w:bottom w:val="single" w:sz="4" w:space="0" w:color="auto"/>
              <w:right w:val="single" w:sz="4" w:space="0" w:color="auto"/>
            </w:tcBorders>
            <w:shd w:val="clear" w:color="auto" w:fill="auto"/>
            <w:noWrap/>
            <w:vAlign w:val="center"/>
            <w:hideMark/>
          </w:tcPr>
          <w:p w14:paraId="7614BA94"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ASN / Fac. cultural studies UNHAS</w:t>
            </w:r>
          </w:p>
        </w:tc>
        <w:tc>
          <w:tcPr>
            <w:tcW w:w="3242" w:type="dxa"/>
            <w:tcBorders>
              <w:top w:val="nil"/>
              <w:left w:val="nil"/>
              <w:bottom w:val="single" w:sz="4" w:space="0" w:color="auto"/>
              <w:right w:val="single" w:sz="4" w:space="0" w:color="auto"/>
            </w:tcBorders>
            <w:shd w:val="clear" w:color="auto" w:fill="auto"/>
            <w:noWrap/>
            <w:vAlign w:val="center"/>
            <w:hideMark/>
          </w:tcPr>
          <w:p w14:paraId="1446C584"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Cultural heritage expert certification and competency test</w:t>
            </w:r>
          </w:p>
        </w:tc>
      </w:tr>
      <w:tr w:rsidR="00341019" w:rsidRPr="00E947CE" w14:paraId="49397FB1" w14:textId="77777777" w:rsidTr="00E947CE">
        <w:trPr>
          <w:trHeight w:val="18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80DA5F" w14:textId="77777777" w:rsidR="00341019" w:rsidRPr="00E947CE" w:rsidRDefault="00341019" w:rsidP="00E947CE">
            <w:pPr>
              <w:jc w:val="center"/>
              <w:rPr>
                <w:noProof/>
                <w:color w:val="000000"/>
                <w:sz w:val="22"/>
                <w:szCs w:val="22"/>
                <w:lang w:val="id-ID" w:eastAsia="en-ID"/>
              </w:rPr>
            </w:pPr>
            <w:r w:rsidRPr="00E947CE">
              <w:rPr>
                <w:noProof/>
                <w:color w:val="000000"/>
                <w:sz w:val="22"/>
                <w:szCs w:val="22"/>
                <w:lang w:val="id-ID" w:eastAsia="en-ID"/>
              </w:rPr>
              <w:t>4</w:t>
            </w:r>
          </w:p>
        </w:tc>
        <w:tc>
          <w:tcPr>
            <w:tcW w:w="3544" w:type="dxa"/>
            <w:tcBorders>
              <w:top w:val="nil"/>
              <w:left w:val="nil"/>
              <w:bottom w:val="single" w:sz="4" w:space="0" w:color="auto"/>
              <w:right w:val="single" w:sz="4" w:space="0" w:color="auto"/>
            </w:tcBorders>
            <w:shd w:val="clear" w:color="auto" w:fill="auto"/>
            <w:noWrap/>
            <w:vAlign w:val="center"/>
            <w:hideMark/>
          </w:tcPr>
          <w:p w14:paraId="3D465457"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Andi Oddang, SS.</w:t>
            </w:r>
          </w:p>
        </w:tc>
        <w:tc>
          <w:tcPr>
            <w:tcW w:w="1843" w:type="dxa"/>
            <w:tcBorders>
              <w:top w:val="nil"/>
              <w:left w:val="nil"/>
              <w:bottom w:val="single" w:sz="4" w:space="0" w:color="auto"/>
              <w:right w:val="single" w:sz="4" w:space="0" w:color="auto"/>
            </w:tcBorders>
            <w:shd w:val="clear" w:color="auto" w:fill="auto"/>
            <w:noWrap/>
            <w:vAlign w:val="center"/>
            <w:hideMark/>
          </w:tcPr>
          <w:p w14:paraId="4E1E61C0"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Archaeologist</w:t>
            </w:r>
          </w:p>
        </w:tc>
        <w:tc>
          <w:tcPr>
            <w:tcW w:w="3242" w:type="dxa"/>
            <w:tcBorders>
              <w:top w:val="nil"/>
              <w:left w:val="nil"/>
              <w:bottom w:val="single" w:sz="4" w:space="0" w:color="auto"/>
              <w:right w:val="single" w:sz="4" w:space="0" w:color="auto"/>
            </w:tcBorders>
            <w:shd w:val="clear" w:color="auto" w:fill="auto"/>
            <w:noWrap/>
            <w:vAlign w:val="center"/>
            <w:hideMark/>
          </w:tcPr>
          <w:p w14:paraId="7E98DBE9"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Cultural heritage expert certification and competency test</w:t>
            </w:r>
          </w:p>
        </w:tc>
      </w:tr>
      <w:tr w:rsidR="00341019" w:rsidRPr="00E947CE" w14:paraId="5D546FF9" w14:textId="77777777" w:rsidTr="00E947CE">
        <w:trPr>
          <w:trHeight w:val="6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E4817E" w14:textId="77777777" w:rsidR="00341019" w:rsidRPr="00E947CE" w:rsidRDefault="00341019" w:rsidP="00E947CE">
            <w:pPr>
              <w:jc w:val="center"/>
              <w:rPr>
                <w:noProof/>
                <w:color w:val="000000"/>
                <w:sz w:val="22"/>
                <w:szCs w:val="22"/>
                <w:lang w:val="id-ID" w:eastAsia="en-ID"/>
              </w:rPr>
            </w:pPr>
            <w:r w:rsidRPr="00E947CE">
              <w:rPr>
                <w:noProof/>
                <w:color w:val="000000"/>
                <w:sz w:val="22"/>
                <w:szCs w:val="22"/>
                <w:lang w:val="id-ID" w:eastAsia="en-ID"/>
              </w:rPr>
              <w:t>5</w:t>
            </w:r>
          </w:p>
        </w:tc>
        <w:tc>
          <w:tcPr>
            <w:tcW w:w="3544" w:type="dxa"/>
            <w:tcBorders>
              <w:top w:val="nil"/>
              <w:left w:val="nil"/>
              <w:bottom w:val="single" w:sz="4" w:space="0" w:color="auto"/>
              <w:right w:val="single" w:sz="4" w:space="0" w:color="auto"/>
            </w:tcBorders>
            <w:shd w:val="clear" w:color="auto" w:fill="auto"/>
            <w:noWrap/>
            <w:vAlign w:val="center"/>
            <w:hideMark/>
          </w:tcPr>
          <w:p w14:paraId="02489099"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Dr. Supriadi, SS., MM.</w:t>
            </w:r>
          </w:p>
        </w:tc>
        <w:tc>
          <w:tcPr>
            <w:tcW w:w="1843" w:type="dxa"/>
            <w:tcBorders>
              <w:top w:val="nil"/>
              <w:left w:val="nil"/>
              <w:bottom w:val="single" w:sz="4" w:space="0" w:color="auto"/>
              <w:right w:val="single" w:sz="4" w:space="0" w:color="auto"/>
            </w:tcBorders>
            <w:shd w:val="clear" w:color="auto" w:fill="auto"/>
            <w:noWrap/>
            <w:vAlign w:val="center"/>
            <w:hideMark/>
          </w:tcPr>
          <w:p w14:paraId="34DFFE8C"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ASN / Fac. cultural studies UNHAS</w:t>
            </w:r>
          </w:p>
        </w:tc>
        <w:tc>
          <w:tcPr>
            <w:tcW w:w="3242" w:type="dxa"/>
            <w:tcBorders>
              <w:top w:val="nil"/>
              <w:left w:val="nil"/>
              <w:bottom w:val="single" w:sz="4" w:space="0" w:color="auto"/>
              <w:right w:val="single" w:sz="4" w:space="0" w:color="auto"/>
            </w:tcBorders>
            <w:shd w:val="clear" w:color="auto" w:fill="auto"/>
            <w:noWrap/>
            <w:vAlign w:val="center"/>
            <w:hideMark/>
          </w:tcPr>
          <w:p w14:paraId="103506D9" w14:textId="77777777" w:rsidR="00341019" w:rsidRPr="00E947CE" w:rsidRDefault="00341019" w:rsidP="00341019">
            <w:pPr>
              <w:rPr>
                <w:noProof/>
                <w:color w:val="000000"/>
                <w:sz w:val="22"/>
                <w:szCs w:val="22"/>
                <w:lang w:val="id-ID" w:eastAsia="en-ID"/>
              </w:rPr>
            </w:pPr>
            <w:r w:rsidRPr="00E947CE">
              <w:rPr>
                <w:noProof/>
                <w:color w:val="000000"/>
                <w:sz w:val="22"/>
                <w:szCs w:val="22"/>
                <w:lang w:val="id-ID" w:eastAsia="en-ID"/>
              </w:rPr>
              <w:t>Cultural heritage expert certification and competency test</w:t>
            </w:r>
          </w:p>
        </w:tc>
      </w:tr>
    </w:tbl>
    <w:p w14:paraId="0B5885B1" w14:textId="77777777" w:rsidR="00341019" w:rsidRPr="00341019" w:rsidRDefault="00341019" w:rsidP="00341019">
      <w:pPr>
        <w:jc w:val="center"/>
        <w:rPr>
          <w:noProof/>
          <w:szCs w:val="24"/>
          <w:lang w:val="id-ID"/>
        </w:rPr>
      </w:pPr>
      <w:r w:rsidRPr="00341019">
        <w:rPr>
          <w:noProof/>
          <w:szCs w:val="24"/>
          <w:lang w:val="id-ID"/>
        </w:rPr>
        <w:t>Source: Bone Regency Culture Office 2022</w:t>
      </w:r>
    </w:p>
    <w:p w14:paraId="409ACE2C" w14:textId="77777777" w:rsidR="00341019" w:rsidRPr="00341019" w:rsidRDefault="00341019" w:rsidP="00341019">
      <w:pPr>
        <w:jc w:val="center"/>
        <w:rPr>
          <w:noProof/>
          <w:szCs w:val="24"/>
          <w:lang w:val="id-ID"/>
        </w:rPr>
      </w:pPr>
    </w:p>
    <w:p w14:paraId="5E0D8FCC" w14:textId="77777777" w:rsidR="00341019" w:rsidRPr="00341019" w:rsidRDefault="00341019" w:rsidP="00341019">
      <w:pPr>
        <w:pStyle w:val="ListParagraph"/>
        <w:numPr>
          <w:ilvl w:val="0"/>
          <w:numId w:val="11"/>
        </w:numPr>
        <w:spacing w:after="120"/>
        <w:ind w:left="284" w:hanging="284"/>
        <w:rPr>
          <w:b/>
          <w:bCs/>
          <w:i/>
          <w:noProof/>
          <w:szCs w:val="24"/>
          <w:lang w:val="id-ID"/>
        </w:rPr>
      </w:pPr>
      <w:r w:rsidRPr="00341019">
        <w:rPr>
          <w:b/>
          <w:bCs/>
          <w:iCs/>
          <w:noProof/>
          <w:szCs w:val="24"/>
          <w:lang w:val="id-ID"/>
        </w:rPr>
        <w:t>Preservation of Cultural Heritage to Become an Icon of Cultural Promotion</w:t>
      </w:r>
      <w:r w:rsidRPr="00341019">
        <w:rPr>
          <w:b/>
          <w:bCs/>
          <w:i/>
          <w:noProof/>
          <w:szCs w:val="24"/>
          <w:lang w:val="id-ID"/>
        </w:rPr>
        <w:t>.</w:t>
      </w:r>
    </w:p>
    <w:p w14:paraId="49525D4D" w14:textId="33A94494" w:rsidR="00341019" w:rsidRPr="00341019" w:rsidRDefault="00B72EDC" w:rsidP="00341019">
      <w:pPr>
        <w:spacing w:after="120"/>
        <w:ind w:firstLine="357"/>
        <w:jc w:val="both"/>
        <w:rPr>
          <w:noProof/>
          <w:szCs w:val="24"/>
          <w:lang w:val="id-ID"/>
        </w:rPr>
      </w:pPr>
      <w:r>
        <w:rPr>
          <w:noProof/>
          <w:szCs w:val="24"/>
        </w:rPr>
        <w:t xml:space="preserve">As according to </w:t>
      </w:r>
      <w:r w:rsidR="00341019" w:rsidRPr="00341019">
        <w:rPr>
          <w:rStyle w:val="FootnoteReference"/>
          <w:noProof/>
          <w:szCs w:val="24"/>
          <w:lang w:val="id-ID"/>
        </w:rPr>
        <w:fldChar w:fldCharType="begin" w:fldLock="1"/>
      </w:r>
      <w:r>
        <w:rPr>
          <w:noProof/>
          <w:szCs w:val="24"/>
          <w:lang w:val="id-ID"/>
        </w:rPr>
        <w:instrText>ADDIN CSL_CITATION {"citationItems":[{"id":"ITEM-1","itemData":{"author":[{"dropping-particle":"","family":"Koentjaraningrat","given":"","non-dropping-particle":"","parse-names":false,"suffix":""}],"id":"ITEM-1","issued":{"date-parts":[["2000"]]},"publisher":"PT. Gramedia Pusaka Utama","publisher-place":"Jakarta","title":"Kebudayan Mentalitas dan Pembangunan","type":"book"},"uris":["http://www.mendeley.com/documents/?uuid=166d8536-9b17-4b08-90eb-6947957cce21","http://www.mendeley.com/documents/?uuid=062921f9-b7be-4209-b2a5-610213723a1b","http://www.mendeley.com/documents/?uuid=9a93821f-8529-4349-9dac-f6f236559aa0"]}],"mendeley":{"formattedCitation":"(Koentjaraningrat, 2000)","manualFormatting":"Koentjaraningrat (2000)","plainTextFormattedCitation":"(Koentjaraningrat, 2000)","previouslyFormattedCitation":"(Koentjaraningrat, 2000)"},"properties":{"noteIndex":0},"schema":"https://github.com/citation-style-language/schema/raw/master/csl-citation.json"}</w:instrText>
      </w:r>
      <w:r w:rsidR="00341019" w:rsidRPr="00341019">
        <w:rPr>
          <w:rStyle w:val="FootnoteReference"/>
          <w:noProof/>
          <w:szCs w:val="24"/>
          <w:lang w:val="id-ID"/>
        </w:rPr>
        <w:fldChar w:fldCharType="separate"/>
      </w:r>
      <w:r w:rsidR="00341019" w:rsidRPr="00341019">
        <w:rPr>
          <w:bCs/>
          <w:noProof/>
          <w:szCs w:val="24"/>
        </w:rPr>
        <w:t>Koentjaraningrat</w:t>
      </w:r>
      <w:r>
        <w:rPr>
          <w:bCs/>
          <w:noProof/>
          <w:szCs w:val="24"/>
        </w:rPr>
        <w:t xml:space="preserve"> (</w:t>
      </w:r>
      <w:r w:rsidR="00341019" w:rsidRPr="00341019">
        <w:rPr>
          <w:bCs/>
          <w:noProof/>
          <w:szCs w:val="24"/>
        </w:rPr>
        <w:t>2000)</w:t>
      </w:r>
      <w:r w:rsidR="00341019" w:rsidRPr="00341019">
        <w:rPr>
          <w:rStyle w:val="FootnoteReference"/>
          <w:noProof/>
          <w:szCs w:val="24"/>
          <w:lang w:val="id-ID"/>
        </w:rPr>
        <w:fldChar w:fldCharType="end"/>
      </w:r>
      <w:r w:rsidR="00341019" w:rsidRPr="00341019">
        <w:rPr>
          <w:noProof/>
          <w:szCs w:val="24"/>
          <w:lang w:val="id-ID"/>
        </w:rPr>
        <w:t xml:space="preserve"> culture is </w:t>
      </w:r>
      <w:r>
        <w:rPr>
          <w:noProof/>
          <w:szCs w:val="24"/>
        </w:rPr>
        <w:t>“</w:t>
      </w:r>
      <w:r w:rsidR="00341019" w:rsidRPr="00341019">
        <w:rPr>
          <w:noProof/>
          <w:szCs w:val="24"/>
          <w:lang w:val="id-ID"/>
        </w:rPr>
        <w:t>the whole system of ideas, actions, and the results of human work in the context of community life which is made the property of humans by learning.</w:t>
      </w:r>
      <w:r>
        <w:rPr>
          <w:noProof/>
          <w:szCs w:val="24"/>
        </w:rPr>
        <w:t>”</w:t>
      </w:r>
      <w:r w:rsidR="00341019" w:rsidRPr="00341019">
        <w:rPr>
          <w:noProof/>
          <w:szCs w:val="24"/>
          <w:lang w:val="id-ID"/>
        </w:rPr>
        <w:t xml:space="preserve"> Culture has an important function in society because culture comes from the community group itself. Therefore, the strategy of Maintaining the Preservation of Cultural Heritage to Make Cultural Promotion Icons is intended so that the cultural heritage in Bone can be known by the wider community.</w:t>
      </w:r>
    </w:p>
    <w:p w14:paraId="77D224CB" w14:textId="77777777" w:rsidR="00341019" w:rsidRPr="00341019" w:rsidRDefault="00341019" w:rsidP="00341019">
      <w:pPr>
        <w:spacing w:after="120"/>
        <w:ind w:firstLine="357"/>
        <w:jc w:val="both"/>
        <w:rPr>
          <w:noProof/>
          <w:szCs w:val="24"/>
          <w:lang w:val="id-ID"/>
        </w:rPr>
      </w:pPr>
      <w:r w:rsidRPr="00341019">
        <w:rPr>
          <w:noProof/>
          <w:szCs w:val="24"/>
          <w:lang w:val="id-ID"/>
        </w:rPr>
        <w:t xml:space="preserve">Preservation of culture is not the responsibility of a group of people, or only the responsibility of the government, but is a shared responsibility of all parties, both the government and the community. In other words, preserving cultural heritage is our duty to all Indonesian people. The </w:t>
      </w:r>
      <w:r w:rsidRPr="00341019">
        <w:rPr>
          <w:noProof/>
          <w:szCs w:val="24"/>
          <w:lang w:val="id-ID"/>
        </w:rPr>
        <w:lastRenderedPageBreak/>
        <w:t>diversity of cultures that exist should be preserved and preserved so that these cultures are not claimed by other nations or extinct from civilization.</w:t>
      </w:r>
    </w:p>
    <w:p w14:paraId="53DA6712" w14:textId="77777777" w:rsidR="00341019" w:rsidRPr="00341019" w:rsidRDefault="00341019" w:rsidP="00341019">
      <w:pPr>
        <w:spacing w:after="120"/>
        <w:ind w:firstLine="357"/>
        <w:jc w:val="both"/>
        <w:rPr>
          <w:noProof/>
          <w:szCs w:val="24"/>
          <w:lang w:val="id-ID"/>
        </w:rPr>
      </w:pPr>
      <w:r w:rsidRPr="00341019">
        <w:rPr>
          <w:noProof/>
          <w:szCs w:val="24"/>
          <w:lang w:val="id-ID"/>
        </w:rPr>
        <w:t>The Regional Cultural Heritage of Bone Regency is so diverse, but the awareness and community to uncover the existing cultural heritage is still minimal, this indicates that there is still a lack of community support in the preservation of regional cultural heritage. The traditional arts owned by the people of Bone Regency are also very diverse, but the arts are only displayed in a very limited community environment/location and lack of promotion.</w:t>
      </w:r>
    </w:p>
    <w:p w14:paraId="7CB109F5" w14:textId="77777777" w:rsidR="00341019" w:rsidRPr="00341019" w:rsidRDefault="00341019" w:rsidP="00341019">
      <w:pPr>
        <w:spacing w:after="120"/>
        <w:ind w:firstLine="357"/>
        <w:jc w:val="both"/>
        <w:rPr>
          <w:noProof/>
          <w:szCs w:val="24"/>
          <w:lang w:val="id-ID"/>
        </w:rPr>
      </w:pPr>
      <w:r w:rsidRPr="00341019">
        <w:rPr>
          <w:noProof/>
          <w:szCs w:val="24"/>
          <w:lang w:val="id-ID"/>
        </w:rPr>
        <w:t>Overcoming the above, the Culture Service of Bone Regency issued a History Development Program by conducting local history development in one area, in addition to increasing access to historical data and information. Starting from this local history development, it is hoped that the Bone Community will become interested, care for, and provide support for cultural preservation. And in the end, we can revive the cultural values ​​that were once so strong among the people of Bone. Furthermore, the Traditional Arts Development Program, with this program the Bone District Cultural Office seeks to foster the arts of the Bone community and improve the governance of traditional arts institutions. It is important to do this because, with the arts, public participation will be even more motivated.</w:t>
      </w:r>
    </w:p>
    <w:p w14:paraId="2ED7F5D7" w14:textId="77777777" w:rsidR="00341019" w:rsidRPr="00341019" w:rsidRDefault="00341019" w:rsidP="00341019">
      <w:pPr>
        <w:spacing w:after="120"/>
        <w:ind w:firstLine="357"/>
        <w:jc w:val="both"/>
        <w:rPr>
          <w:noProof/>
          <w:szCs w:val="24"/>
          <w:lang w:val="id-ID"/>
        </w:rPr>
      </w:pPr>
      <w:r w:rsidRPr="00341019">
        <w:rPr>
          <w:noProof/>
          <w:szCs w:val="24"/>
          <w:lang w:val="id-ID"/>
        </w:rPr>
        <w:t>The historical development and development of traditional arts can be the first step in the preservation and promotion of culture in Bone Regency. Given the existence of a regional culture that has a very important role in our daily life. Culture is an important element of the progress of a country or region, maintaining culture means maintaining the dignity of the nation because culture is part of the identity of the nation's ancestral heritage that must be maintained properly.</w:t>
      </w:r>
    </w:p>
    <w:p w14:paraId="2DFEFA12" w14:textId="77777777" w:rsidR="00341019" w:rsidRPr="00341019" w:rsidRDefault="00341019" w:rsidP="00341019">
      <w:pPr>
        <w:pStyle w:val="ListParagraph"/>
        <w:numPr>
          <w:ilvl w:val="0"/>
          <w:numId w:val="11"/>
        </w:numPr>
        <w:spacing w:after="120"/>
        <w:ind w:left="284" w:hanging="284"/>
        <w:rPr>
          <w:b/>
          <w:bCs/>
          <w:iCs/>
          <w:noProof/>
          <w:szCs w:val="24"/>
          <w:lang w:val="id-ID"/>
        </w:rPr>
      </w:pPr>
      <w:r w:rsidRPr="00341019">
        <w:rPr>
          <w:b/>
          <w:bCs/>
          <w:iCs/>
          <w:noProof/>
          <w:szCs w:val="24"/>
          <w:lang w:val="id-ID"/>
        </w:rPr>
        <w:t>Increasing the National Recognition of Intangible Cultural Heritage.</w:t>
      </w:r>
    </w:p>
    <w:p w14:paraId="29CC4A86" w14:textId="77777777" w:rsidR="00341019" w:rsidRPr="00341019" w:rsidRDefault="00341019" w:rsidP="00341019">
      <w:pPr>
        <w:spacing w:after="120"/>
        <w:ind w:firstLine="357"/>
        <w:jc w:val="both"/>
        <w:rPr>
          <w:noProof/>
          <w:szCs w:val="24"/>
          <w:lang w:val="id-ID"/>
        </w:rPr>
      </w:pPr>
      <w:r w:rsidRPr="00341019">
        <w:rPr>
          <w:noProof/>
          <w:szCs w:val="24"/>
          <w:lang w:val="id-ID"/>
        </w:rPr>
        <w:t>Intangible Cultural Heritage (WBTB) does not have a physical form (tangible) but its existence is known and can be felt, examples of customary values ​​and traditions, religious teachings, traditional music, traditional dances, religious ceremonies, oral history, and many others. This cultural heritage can be passed down from generation to generation and this becomes an identity for a group that is sustainable.</w:t>
      </w:r>
    </w:p>
    <w:p w14:paraId="1D53C32F" w14:textId="77777777" w:rsidR="00341019" w:rsidRPr="00341019" w:rsidRDefault="00341019" w:rsidP="00341019">
      <w:pPr>
        <w:spacing w:after="120"/>
        <w:ind w:firstLine="357"/>
        <w:jc w:val="both"/>
        <w:rPr>
          <w:noProof/>
          <w:szCs w:val="24"/>
          <w:lang w:val="id-ID"/>
        </w:rPr>
      </w:pPr>
      <w:r w:rsidRPr="00341019">
        <w:rPr>
          <w:noProof/>
          <w:szCs w:val="24"/>
          <w:lang w:val="id-ID"/>
        </w:rPr>
        <w:t>According to the South Sulawesi Provincial Regulation Number 3 of 2020 concerning the Preservation and Promotion of Intangible Culture, the definition of intangible culture is all the results of actions and thoughts that are embodied in identity, ideology, mythology, concrete expressions in the form of sound, motion, and ideas contained in objects, behavior systems, belief systems, and customs in Indonesia. Objects for Preserving and Promoting Intangible Culture include oral traditions, manuscripts, customs, rites, traditional knowledge, traditional technology, arts, languages, folk games, and traditional sports. Preservation of intangible culture is an effort to maintain the existence of regional intangible culture and its value through protection, development, and utilization.</w:t>
      </w:r>
    </w:p>
    <w:p w14:paraId="3173A702" w14:textId="77777777" w:rsidR="00341019" w:rsidRPr="00341019" w:rsidRDefault="00341019" w:rsidP="00341019">
      <w:pPr>
        <w:spacing w:after="120"/>
        <w:ind w:firstLine="357"/>
        <w:jc w:val="both"/>
        <w:rPr>
          <w:noProof/>
          <w:szCs w:val="24"/>
          <w:lang w:val="id-ID"/>
        </w:rPr>
      </w:pPr>
      <w:r w:rsidRPr="00341019">
        <w:rPr>
          <w:noProof/>
          <w:szCs w:val="24"/>
          <w:lang w:val="id-ID"/>
        </w:rPr>
        <w:t>One of the programs of the Bone Regency Culture Service is the cultural development program, by carrying out, protects, develops, and utilizes objects for the promotion of cultural traditions. Therefore, the first step is to find out how the intangible cultural heritage gets national recognition of intangible cultural heritage. Then after that the development of human resources, traditional institutions, and institutions to support the preservation and promotion of culture in Bone Regency.</w:t>
      </w:r>
    </w:p>
    <w:p w14:paraId="3247721B" w14:textId="72E71EAA" w:rsidR="00341019" w:rsidRPr="00341019" w:rsidRDefault="00341019" w:rsidP="00341019">
      <w:pPr>
        <w:spacing w:after="120"/>
        <w:ind w:firstLine="357"/>
        <w:jc w:val="both"/>
        <w:rPr>
          <w:bCs/>
          <w:noProof/>
          <w:szCs w:val="24"/>
          <w:lang w:val="id-ID"/>
        </w:rPr>
      </w:pPr>
      <w:r w:rsidRPr="00341019">
        <w:rPr>
          <w:noProof/>
          <w:szCs w:val="24"/>
          <w:lang w:val="id-ID"/>
        </w:rPr>
        <w:t>Local government</w:t>
      </w:r>
      <w:r w:rsidRPr="00341019">
        <w:rPr>
          <w:noProof/>
          <w:color w:val="191919"/>
          <w:szCs w:val="24"/>
          <w:shd w:val="clear" w:color="auto" w:fill="FFFFFF"/>
          <w:lang w:val="id-ID"/>
        </w:rPr>
        <w:t xml:space="preserve"> through the Culture Service of Bone Regency, with a strategy of increasing national recognition of intangible cultural heritage, at least seven intangible cultural heritages have </w:t>
      </w:r>
      <w:r w:rsidRPr="00341019">
        <w:rPr>
          <w:noProof/>
          <w:color w:val="191919"/>
          <w:szCs w:val="24"/>
          <w:shd w:val="clear" w:color="auto" w:fill="FFFFFF"/>
          <w:lang w:val="id-ID"/>
        </w:rPr>
        <w:lastRenderedPageBreak/>
        <w:t>been recognized nationally. If we compare the variety of intangible cultural heritage in Bone Regency with those that have received national recognition, of course, there are many other intangible cultural heritages in Bone Regency that have not yet received such recognition, and this is homework for the Department of Home Affairs. Bone Regency Culture:</w:t>
      </w:r>
      <w:bookmarkStart w:id="9" w:name="_Toc101707632"/>
    </w:p>
    <w:p w14:paraId="396126CA" w14:textId="623EEC04" w:rsidR="00341019" w:rsidRPr="00341019" w:rsidRDefault="00341019" w:rsidP="00341019">
      <w:pPr>
        <w:jc w:val="center"/>
        <w:rPr>
          <w:bCs/>
          <w:iCs/>
          <w:noProof/>
          <w:szCs w:val="24"/>
          <w:lang w:val="id-ID"/>
        </w:rPr>
      </w:pPr>
      <w:r w:rsidRPr="00341019">
        <w:rPr>
          <w:b/>
          <w:noProof/>
          <w:szCs w:val="24"/>
          <w:lang w:val="id-ID"/>
        </w:rPr>
        <w:t xml:space="preserve">Table </w:t>
      </w:r>
      <w:r w:rsidRPr="00341019">
        <w:rPr>
          <w:b/>
          <w:noProof/>
          <w:szCs w:val="24"/>
          <w:lang w:val="id-ID"/>
        </w:rPr>
        <w:fldChar w:fldCharType="begin"/>
      </w:r>
      <w:r w:rsidRPr="00341019">
        <w:rPr>
          <w:b/>
          <w:noProof/>
          <w:szCs w:val="24"/>
          <w:lang w:val="id-ID"/>
        </w:rPr>
        <w:instrText xml:space="preserve"> SEQ Tabel \* ARABIC </w:instrText>
      </w:r>
      <w:r w:rsidRPr="00341019">
        <w:rPr>
          <w:b/>
          <w:noProof/>
          <w:szCs w:val="24"/>
          <w:lang w:val="id-ID"/>
        </w:rPr>
        <w:fldChar w:fldCharType="separate"/>
      </w:r>
      <w:r w:rsidR="00E02BE2">
        <w:rPr>
          <w:b/>
          <w:noProof/>
          <w:szCs w:val="24"/>
          <w:lang w:val="id-ID"/>
        </w:rPr>
        <w:t>4</w:t>
      </w:r>
      <w:r w:rsidRPr="00341019">
        <w:rPr>
          <w:b/>
          <w:noProof/>
          <w:szCs w:val="24"/>
          <w:lang w:val="id-ID"/>
        </w:rPr>
        <w:fldChar w:fldCharType="end"/>
      </w:r>
      <w:r w:rsidRPr="00143229">
        <w:rPr>
          <w:b/>
          <w:noProof/>
          <w:szCs w:val="24"/>
          <w:lang w:val="id-ID"/>
        </w:rPr>
        <w:t>.</w:t>
      </w:r>
      <w:bookmarkEnd w:id="9"/>
      <w:r w:rsidRPr="00143229">
        <w:rPr>
          <w:b/>
          <w:iCs/>
          <w:noProof/>
          <w:szCs w:val="24"/>
        </w:rPr>
        <w:t xml:space="preserve"> </w:t>
      </w:r>
      <w:r w:rsidRPr="00143229">
        <w:rPr>
          <w:b/>
          <w:noProof/>
          <w:color w:val="191919"/>
          <w:szCs w:val="24"/>
          <w:shd w:val="clear" w:color="auto" w:fill="FFFFFF"/>
          <w:lang w:val="id-ID"/>
        </w:rPr>
        <w:t>List of Intangible Cultural Heritage of Bone Regency</w:t>
      </w:r>
    </w:p>
    <w:tbl>
      <w:tblPr>
        <w:tblW w:w="5863" w:type="dxa"/>
        <w:jc w:val="center"/>
        <w:tblLook w:val="04A0" w:firstRow="1" w:lastRow="0" w:firstColumn="1" w:lastColumn="0" w:noHBand="0" w:noVBand="1"/>
      </w:tblPr>
      <w:tblGrid>
        <w:gridCol w:w="603"/>
        <w:gridCol w:w="4300"/>
        <w:gridCol w:w="960"/>
      </w:tblGrid>
      <w:tr w:rsidR="00341019" w:rsidRPr="00341019" w14:paraId="4B7CF112" w14:textId="77777777" w:rsidTr="00143229">
        <w:trPr>
          <w:trHeight w:val="315"/>
          <w:jc w:val="center"/>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D9BD" w14:textId="77777777" w:rsidR="00341019" w:rsidRPr="00143229" w:rsidRDefault="00341019" w:rsidP="00341019">
            <w:pPr>
              <w:rPr>
                <w:b/>
                <w:bCs/>
                <w:noProof/>
                <w:szCs w:val="24"/>
                <w:lang w:val="id-ID" w:eastAsia="en-ID"/>
              </w:rPr>
            </w:pPr>
            <w:r w:rsidRPr="00143229">
              <w:rPr>
                <w:b/>
                <w:bCs/>
                <w:noProof/>
                <w:szCs w:val="24"/>
                <w:lang w:val="id-ID" w:eastAsia="en-ID"/>
              </w:rPr>
              <w:t>No.</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14:paraId="7DC31700" w14:textId="77777777" w:rsidR="00341019" w:rsidRPr="00143229" w:rsidRDefault="00341019" w:rsidP="00341019">
            <w:pPr>
              <w:rPr>
                <w:b/>
                <w:bCs/>
                <w:noProof/>
                <w:szCs w:val="24"/>
                <w:lang w:val="id-ID" w:eastAsia="en-ID"/>
              </w:rPr>
            </w:pPr>
            <w:r w:rsidRPr="00143229">
              <w:rPr>
                <w:b/>
                <w:bCs/>
                <w:noProof/>
                <w:szCs w:val="24"/>
                <w:lang w:val="id-ID" w:eastAsia="en-ID"/>
              </w:rPr>
              <w:t>Intangible Cultural Heritage Name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56580E" w14:textId="77777777" w:rsidR="00341019" w:rsidRPr="00143229" w:rsidRDefault="00341019" w:rsidP="00341019">
            <w:pPr>
              <w:rPr>
                <w:b/>
                <w:bCs/>
                <w:noProof/>
                <w:szCs w:val="24"/>
                <w:lang w:val="id-ID" w:eastAsia="en-ID"/>
              </w:rPr>
            </w:pPr>
            <w:r w:rsidRPr="00143229">
              <w:rPr>
                <w:b/>
                <w:bCs/>
                <w:noProof/>
                <w:szCs w:val="24"/>
                <w:lang w:val="id-ID" w:eastAsia="en-ID"/>
              </w:rPr>
              <w:t>Year</w:t>
            </w:r>
          </w:p>
        </w:tc>
      </w:tr>
      <w:tr w:rsidR="00341019" w:rsidRPr="00341019" w14:paraId="2F7A7172"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3390D2B"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1</w:t>
            </w:r>
          </w:p>
        </w:tc>
        <w:tc>
          <w:tcPr>
            <w:tcW w:w="4300" w:type="dxa"/>
            <w:tcBorders>
              <w:top w:val="nil"/>
              <w:left w:val="nil"/>
              <w:bottom w:val="single" w:sz="4" w:space="0" w:color="auto"/>
              <w:right w:val="single" w:sz="4" w:space="0" w:color="auto"/>
            </w:tcBorders>
            <w:shd w:val="clear" w:color="auto" w:fill="auto"/>
            <w:noWrap/>
            <w:hideMark/>
          </w:tcPr>
          <w:p w14:paraId="0EBAE4FE" w14:textId="77777777" w:rsidR="00341019" w:rsidRPr="00341019" w:rsidRDefault="00341019" w:rsidP="00341019">
            <w:pPr>
              <w:rPr>
                <w:noProof/>
                <w:color w:val="000000"/>
                <w:szCs w:val="24"/>
                <w:lang w:val="id-ID" w:eastAsia="en-ID"/>
              </w:rPr>
            </w:pPr>
            <w:r w:rsidRPr="00341019">
              <w:rPr>
                <w:noProof/>
                <w:color w:val="000000"/>
                <w:szCs w:val="24"/>
                <w:lang w:val="id-ID" w:eastAsia="en-ID"/>
              </w:rPr>
              <w:t>Mattompang Arajang</w:t>
            </w:r>
          </w:p>
        </w:tc>
        <w:tc>
          <w:tcPr>
            <w:tcW w:w="960" w:type="dxa"/>
            <w:tcBorders>
              <w:top w:val="nil"/>
              <w:left w:val="nil"/>
              <w:bottom w:val="single" w:sz="4" w:space="0" w:color="auto"/>
              <w:right w:val="single" w:sz="4" w:space="0" w:color="auto"/>
            </w:tcBorders>
            <w:shd w:val="clear" w:color="auto" w:fill="auto"/>
            <w:noWrap/>
            <w:vAlign w:val="bottom"/>
            <w:hideMark/>
          </w:tcPr>
          <w:p w14:paraId="32EFAADB"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2018</w:t>
            </w:r>
          </w:p>
        </w:tc>
      </w:tr>
      <w:tr w:rsidR="00341019" w:rsidRPr="00341019" w14:paraId="7AF916E5"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75EECBF"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w:t>
            </w:r>
          </w:p>
        </w:tc>
        <w:tc>
          <w:tcPr>
            <w:tcW w:w="4300" w:type="dxa"/>
            <w:tcBorders>
              <w:top w:val="nil"/>
              <w:left w:val="nil"/>
              <w:bottom w:val="single" w:sz="4" w:space="0" w:color="auto"/>
              <w:right w:val="single" w:sz="4" w:space="0" w:color="auto"/>
            </w:tcBorders>
            <w:shd w:val="clear" w:color="auto" w:fill="auto"/>
            <w:noWrap/>
            <w:vAlign w:val="center"/>
            <w:hideMark/>
          </w:tcPr>
          <w:p w14:paraId="5FAD160E" w14:textId="77777777" w:rsidR="00341019" w:rsidRPr="00341019" w:rsidRDefault="00341019" w:rsidP="00341019">
            <w:pPr>
              <w:rPr>
                <w:noProof/>
                <w:color w:val="000000"/>
                <w:szCs w:val="24"/>
                <w:lang w:val="id-ID" w:eastAsia="en-ID"/>
              </w:rPr>
            </w:pPr>
            <w:r w:rsidRPr="00341019">
              <w:rPr>
                <w:noProof/>
                <w:color w:val="000000"/>
                <w:szCs w:val="24"/>
                <w:lang w:val="id-ID" w:eastAsia="en-ID"/>
              </w:rPr>
              <w:t>Sirawu Sulo / Sirempek fire</w:t>
            </w:r>
          </w:p>
        </w:tc>
        <w:tc>
          <w:tcPr>
            <w:tcW w:w="960" w:type="dxa"/>
            <w:tcBorders>
              <w:top w:val="nil"/>
              <w:left w:val="nil"/>
              <w:bottom w:val="single" w:sz="4" w:space="0" w:color="auto"/>
              <w:right w:val="single" w:sz="4" w:space="0" w:color="auto"/>
            </w:tcBorders>
            <w:shd w:val="clear" w:color="auto" w:fill="auto"/>
            <w:noWrap/>
            <w:vAlign w:val="bottom"/>
            <w:hideMark/>
          </w:tcPr>
          <w:p w14:paraId="0E33F98C"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2018</w:t>
            </w:r>
          </w:p>
        </w:tc>
      </w:tr>
      <w:tr w:rsidR="00341019" w:rsidRPr="00341019" w14:paraId="1C661AA8"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0F04162"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3</w:t>
            </w:r>
          </w:p>
        </w:tc>
        <w:tc>
          <w:tcPr>
            <w:tcW w:w="4300" w:type="dxa"/>
            <w:tcBorders>
              <w:top w:val="nil"/>
              <w:left w:val="nil"/>
              <w:bottom w:val="single" w:sz="4" w:space="0" w:color="auto"/>
              <w:right w:val="single" w:sz="4" w:space="0" w:color="auto"/>
            </w:tcBorders>
            <w:shd w:val="clear" w:color="auto" w:fill="auto"/>
            <w:noWrap/>
            <w:vAlign w:val="center"/>
            <w:hideMark/>
          </w:tcPr>
          <w:p w14:paraId="5C091F8C" w14:textId="77777777" w:rsidR="00341019" w:rsidRPr="00341019" w:rsidRDefault="00341019" w:rsidP="00341019">
            <w:pPr>
              <w:rPr>
                <w:noProof/>
                <w:color w:val="000000"/>
                <w:szCs w:val="24"/>
                <w:lang w:val="id-ID" w:eastAsia="en-ID"/>
              </w:rPr>
            </w:pPr>
            <w:r w:rsidRPr="00341019">
              <w:rPr>
                <w:noProof/>
                <w:color w:val="000000"/>
                <w:szCs w:val="24"/>
                <w:lang w:val="id-ID" w:eastAsia="en-ID"/>
              </w:rPr>
              <w:t>Songkok Recca</w:t>
            </w:r>
          </w:p>
        </w:tc>
        <w:tc>
          <w:tcPr>
            <w:tcW w:w="960" w:type="dxa"/>
            <w:tcBorders>
              <w:top w:val="nil"/>
              <w:left w:val="nil"/>
              <w:bottom w:val="single" w:sz="4" w:space="0" w:color="auto"/>
              <w:right w:val="single" w:sz="4" w:space="0" w:color="auto"/>
            </w:tcBorders>
            <w:shd w:val="clear" w:color="auto" w:fill="auto"/>
            <w:noWrap/>
            <w:vAlign w:val="bottom"/>
            <w:hideMark/>
          </w:tcPr>
          <w:p w14:paraId="650C1A9E"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2018</w:t>
            </w:r>
          </w:p>
        </w:tc>
      </w:tr>
      <w:tr w:rsidR="00341019" w:rsidRPr="00341019" w14:paraId="61338B12"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4197128"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4</w:t>
            </w:r>
          </w:p>
        </w:tc>
        <w:tc>
          <w:tcPr>
            <w:tcW w:w="4300" w:type="dxa"/>
            <w:tcBorders>
              <w:top w:val="nil"/>
              <w:left w:val="nil"/>
              <w:bottom w:val="single" w:sz="4" w:space="0" w:color="auto"/>
              <w:right w:val="single" w:sz="4" w:space="0" w:color="auto"/>
            </w:tcBorders>
            <w:shd w:val="clear" w:color="auto" w:fill="auto"/>
            <w:noWrap/>
            <w:vAlign w:val="center"/>
            <w:hideMark/>
          </w:tcPr>
          <w:p w14:paraId="2F16C201" w14:textId="77777777" w:rsidR="00341019" w:rsidRPr="00341019" w:rsidRDefault="00341019" w:rsidP="00341019">
            <w:pPr>
              <w:rPr>
                <w:noProof/>
                <w:color w:val="000000"/>
                <w:szCs w:val="24"/>
                <w:lang w:val="id-ID" w:eastAsia="en-ID"/>
              </w:rPr>
            </w:pPr>
            <w:r w:rsidRPr="00341019">
              <w:rPr>
                <w:noProof/>
                <w:color w:val="000000"/>
                <w:szCs w:val="24"/>
                <w:lang w:val="id-ID" w:eastAsia="en-ID"/>
              </w:rPr>
              <w:t>Kawali Gecong</w:t>
            </w:r>
          </w:p>
        </w:tc>
        <w:tc>
          <w:tcPr>
            <w:tcW w:w="960" w:type="dxa"/>
            <w:tcBorders>
              <w:top w:val="nil"/>
              <w:left w:val="nil"/>
              <w:bottom w:val="single" w:sz="4" w:space="0" w:color="auto"/>
              <w:right w:val="single" w:sz="4" w:space="0" w:color="auto"/>
            </w:tcBorders>
            <w:shd w:val="clear" w:color="auto" w:fill="auto"/>
            <w:noWrap/>
            <w:vAlign w:val="bottom"/>
            <w:hideMark/>
          </w:tcPr>
          <w:p w14:paraId="171D7C3A"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2020</w:t>
            </w:r>
          </w:p>
        </w:tc>
      </w:tr>
      <w:tr w:rsidR="00341019" w:rsidRPr="00341019" w14:paraId="4F85559E"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16B0EC1"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5</w:t>
            </w:r>
          </w:p>
        </w:tc>
        <w:tc>
          <w:tcPr>
            <w:tcW w:w="4300" w:type="dxa"/>
            <w:tcBorders>
              <w:top w:val="nil"/>
              <w:left w:val="nil"/>
              <w:bottom w:val="single" w:sz="4" w:space="0" w:color="auto"/>
              <w:right w:val="single" w:sz="4" w:space="0" w:color="auto"/>
            </w:tcBorders>
            <w:shd w:val="clear" w:color="auto" w:fill="auto"/>
            <w:noWrap/>
            <w:vAlign w:val="center"/>
            <w:hideMark/>
          </w:tcPr>
          <w:p w14:paraId="5321B417" w14:textId="77777777" w:rsidR="00341019" w:rsidRPr="00341019" w:rsidRDefault="00341019" w:rsidP="00341019">
            <w:pPr>
              <w:rPr>
                <w:noProof/>
                <w:color w:val="000000"/>
                <w:szCs w:val="24"/>
                <w:lang w:val="id-ID" w:eastAsia="en-ID"/>
              </w:rPr>
            </w:pPr>
            <w:r w:rsidRPr="00341019">
              <w:rPr>
                <w:noProof/>
                <w:color w:val="000000"/>
                <w:szCs w:val="24"/>
                <w:lang w:val="id-ID" w:eastAsia="en-ID"/>
              </w:rPr>
              <w:t>Sere Bissu</w:t>
            </w:r>
          </w:p>
        </w:tc>
        <w:tc>
          <w:tcPr>
            <w:tcW w:w="960" w:type="dxa"/>
            <w:tcBorders>
              <w:top w:val="nil"/>
              <w:left w:val="nil"/>
              <w:bottom w:val="single" w:sz="4" w:space="0" w:color="auto"/>
              <w:right w:val="single" w:sz="4" w:space="0" w:color="auto"/>
            </w:tcBorders>
            <w:shd w:val="clear" w:color="auto" w:fill="auto"/>
            <w:noWrap/>
            <w:vAlign w:val="bottom"/>
            <w:hideMark/>
          </w:tcPr>
          <w:p w14:paraId="4F06B61D"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2020</w:t>
            </w:r>
          </w:p>
        </w:tc>
      </w:tr>
      <w:tr w:rsidR="00341019" w:rsidRPr="00341019" w14:paraId="3B7C70E7"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9327B7E"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6</w:t>
            </w:r>
          </w:p>
        </w:tc>
        <w:tc>
          <w:tcPr>
            <w:tcW w:w="4300" w:type="dxa"/>
            <w:tcBorders>
              <w:top w:val="nil"/>
              <w:left w:val="nil"/>
              <w:bottom w:val="single" w:sz="4" w:space="0" w:color="auto"/>
              <w:right w:val="single" w:sz="4" w:space="0" w:color="auto"/>
            </w:tcBorders>
            <w:shd w:val="clear" w:color="auto" w:fill="auto"/>
            <w:noWrap/>
            <w:vAlign w:val="center"/>
            <w:hideMark/>
          </w:tcPr>
          <w:p w14:paraId="30B87C99" w14:textId="77777777" w:rsidR="00341019" w:rsidRPr="00341019" w:rsidRDefault="00341019" w:rsidP="00341019">
            <w:pPr>
              <w:rPr>
                <w:noProof/>
                <w:color w:val="000000"/>
                <w:szCs w:val="24"/>
                <w:lang w:val="id-ID" w:eastAsia="en-ID"/>
              </w:rPr>
            </w:pPr>
            <w:r w:rsidRPr="00341019">
              <w:rPr>
                <w:noProof/>
                <w:color w:val="000000"/>
                <w:szCs w:val="24"/>
                <w:lang w:val="id-ID" w:eastAsia="en-ID"/>
              </w:rPr>
              <w:t>Pajjoge Makkunrai Dance</w:t>
            </w:r>
          </w:p>
        </w:tc>
        <w:tc>
          <w:tcPr>
            <w:tcW w:w="960" w:type="dxa"/>
            <w:tcBorders>
              <w:top w:val="nil"/>
              <w:left w:val="nil"/>
              <w:bottom w:val="single" w:sz="4" w:space="0" w:color="auto"/>
              <w:right w:val="single" w:sz="4" w:space="0" w:color="auto"/>
            </w:tcBorders>
            <w:shd w:val="clear" w:color="auto" w:fill="auto"/>
            <w:noWrap/>
            <w:vAlign w:val="bottom"/>
            <w:hideMark/>
          </w:tcPr>
          <w:p w14:paraId="3090BBAC"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2021</w:t>
            </w:r>
          </w:p>
        </w:tc>
      </w:tr>
      <w:tr w:rsidR="00341019" w:rsidRPr="00341019" w14:paraId="277A26A6" w14:textId="77777777" w:rsidTr="003F5D99">
        <w:trPr>
          <w:trHeight w:val="300"/>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0042955"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7</w:t>
            </w:r>
          </w:p>
        </w:tc>
        <w:tc>
          <w:tcPr>
            <w:tcW w:w="4300" w:type="dxa"/>
            <w:tcBorders>
              <w:top w:val="nil"/>
              <w:left w:val="nil"/>
              <w:bottom w:val="single" w:sz="4" w:space="0" w:color="auto"/>
              <w:right w:val="single" w:sz="4" w:space="0" w:color="auto"/>
            </w:tcBorders>
            <w:shd w:val="clear" w:color="auto" w:fill="auto"/>
            <w:noWrap/>
            <w:vAlign w:val="center"/>
            <w:hideMark/>
          </w:tcPr>
          <w:p w14:paraId="2AB26C6F" w14:textId="77777777" w:rsidR="00341019" w:rsidRPr="00341019" w:rsidRDefault="00341019" w:rsidP="00341019">
            <w:pPr>
              <w:rPr>
                <w:noProof/>
                <w:color w:val="000000"/>
                <w:szCs w:val="24"/>
                <w:lang w:val="id-ID" w:eastAsia="en-ID"/>
              </w:rPr>
            </w:pPr>
            <w:r w:rsidRPr="00341019">
              <w:rPr>
                <w:noProof/>
                <w:color w:val="000000"/>
                <w:szCs w:val="24"/>
                <w:lang w:val="id-ID" w:eastAsia="en-ID"/>
              </w:rPr>
              <w:t>Andi Makkunrai's Pajaga Dance</w:t>
            </w:r>
          </w:p>
        </w:tc>
        <w:tc>
          <w:tcPr>
            <w:tcW w:w="960" w:type="dxa"/>
            <w:tcBorders>
              <w:top w:val="nil"/>
              <w:left w:val="nil"/>
              <w:bottom w:val="single" w:sz="4" w:space="0" w:color="auto"/>
              <w:right w:val="single" w:sz="4" w:space="0" w:color="auto"/>
            </w:tcBorders>
            <w:shd w:val="clear" w:color="auto" w:fill="auto"/>
            <w:noWrap/>
            <w:vAlign w:val="bottom"/>
            <w:hideMark/>
          </w:tcPr>
          <w:p w14:paraId="19F6ADE7" w14:textId="77777777" w:rsidR="00341019" w:rsidRPr="00341019" w:rsidRDefault="00341019" w:rsidP="00341019">
            <w:pPr>
              <w:jc w:val="center"/>
              <w:rPr>
                <w:noProof/>
                <w:color w:val="000000"/>
                <w:szCs w:val="24"/>
                <w:lang w:val="id-ID" w:eastAsia="en-ID"/>
              </w:rPr>
            </w:pPr>
            <w:r w:rsidRPr="00341019">
              <w:rPr>
                <w:noProof/>
                <w:color w:val="000000"/>
                <w:szCs w:val="24"/>
                <w:lang w:val="id-ID" w:eastAsia="en-ID"/>
              </w:rPr>
              <w:t>2021</w:t>
            </w:r>
          </w:p>
        </w:tc>
      </w:tr>
    </w:tbl>
    <w:p w14:paraId="14297CD5" w14:textId="77777777" w:rsidR="00341019" w:rsidRPr="00341019" w:rsidRDefault="00341019" w:rsidP="00341019">
      <w:pPr>
        <w:jc w:val="center"/>
        <w:rPr>
          <w:noProof/>
          <w:szCs w:val="24"/>
          <w:lang w:val="id-ID"/>
        </w:rPr>
      </w:pPr>
      <w:r w:rsidRPr="00341019">
        <w:rPr>
          <w:noProof/>
          <w:color w:val="191919"/>
          <w:szCs w:val="24"/>
          <w:shd w:val="clear" w:color="auto" w:fill="FFFFFF"/>
          <w:lang w:val="id-ID"/>
        </w:rPr>
        <w:t>Source: Bone Regency Culture Service</w:t>
      </w:r>
      <w:r w:rsidRPr="00341019">
        <w:rPr>
          <w:noProof/>
          <w:szCs w:val="24"/>
          <w:lang w:val="id-ID"/>
        </w:rPr>
        <w:t>2022</w:t>
      </w:r>
    </w:p>
    <w:p w14:paraId="067F26B9" w14:textId="77777777" w:rsidR="00341019" w:rsidRPr="00341019" w:rsidRDefault="00341019" w:rsidP="00341019">
      <w:pPr>
        <w:spacing w:after="120"/>
        <w:ind w:firstLine="357"/>
        <w:jc w:val="both"/>
        <w:rPr>
          <w:noProof/>
          <w:szCs w:val="24"/>
          <w:lang w:val="id-ID"/>
        </w:rPr>
      </w:pPr>
    </w:p>
    <w:p w14:paraId="712DCC5B" w14:textId="43A8BD3C" w:rsidR="00D73172" w:rsidRPr="00341019" w:rsidRDefault="00341019" w:rsidP="004B7814">
      <w:pPr>
        <w:pStyle w:val="Heading1"/>
        <w:numPr>
          <w:ilvl w:val="0"/>
          <w:numId w:val="6"/>
        </w:numPr>
        <w:suppressAutoHyphens/>
        <w:spacing w:after="60"/>
        <w:ind w:left="360"/>
        <w:rPr>
          <w:i w:val="0"/>
          <w:noProof/>
          <w:sz w:val="24"/>
          <w:szCs w:val="24"/>
          <w:lang w:val="id-ID"/>
        </w:rPr>
      </w:pPr>
      <w:r w:rsidRPr="00341019">
        <w:rPr>
          <w:i w:val="0"/>
          <w:noProof/>
          <w:sz w:val="24"/>
          <w:szCs w:val="24"/>
          <w:lang w:val="id-ID"/>
        </w:rPr>
        <w:t>CONCLUSIONS</w:t>
      </w:r>
    </w:p>
    <w:p w14:paraId="4563EF91" w14:textId="77777777" w:rsidR="00143229" w:rsidRPr="00143229" w:rsidRDefault="00143229" w:rsidP="00143229">
      <w:pPr>
        <w:spacing w:after="120"/>
        <w:ind w:firstLine="357"/>
        <w:jc w:val="both"/>
        <w:rPr>
          <w:noProof/>
          <w:szCs w:val="24"/>
          <w:lang w:val="id-ID"/>
        </w:rPr>
      </w:pPr>
      <w:r w:rsidRPr="00143229">
        <w:rPr>
          <w:noProof/>
          <w:szCs w:val="24"/>
          <w:lang w:val="id-ID"/>
        </w:rPr>
        <w:t>The Cultural Office of Bone Regency has formulated a strategy for preserving culture and cultural heritage in the region by considering the analysis of both external environmental conditions related to cultural opportunities and challenges, as well as the analysis of internal environmental conditions related to the strengths and weaknesses of the cultural service itself. In response to the problem of cultural preservation and cultural heritage in Bone Regency, the Cultural Office has formulated strategies, namely: (1) preserving cultural heritage to make cultural promotion icons, (2) increasing public access to cultural heritage, and (3) increasing national recognition of intangible cultural heritage. These strategies are accompanied by policy directions and programs.</w:t>
      </w:r>
    </w:p>
    <w:p w14:paraId="2ECE0AE4" w14:textId="77777777" w:rsidR="00143229" w:rsidRPr="00143229" w:rsidRDefault="00143229" w:rsidP="00143229">
      <w:pPr>
        <w:spacing w:after="120"/>
        <w:ind w:firstLine="357"/>
        <w:jc w:val="both"/>
        <w:rPr>
          <w:noProof/>
          <w:szCs w:val="24"/>
          <w:lang w:val="id-ID"/>
        </w:rPr>
      </w:pPr>
      <w:r w:rsidRPr="00143229">
        <w:rPr>
          <w:noProof/>
          <w:szCs w:val="24"/>
          <w:lang w:val="id-ID"/>
        </w:rPr>
        <w:t>It is suggested that the Bone Regency Cultural Office pay more attention to evaluating the strategies and policies being carried out. This evaluation can be done by strengthening the internal evaluation of the Cultural Office. Successful strategies, policies, and programs must be maintained and maximized, while less successful and less beneficial ones can be replaced with more effective strategies.</w:t>
      </w:r>
    </w:p>
    <w:p w14:paraId="0505C2DD" w14:textId="1DE057E5" w:rsidR="00D73172" w:rsidRDefault="00143229" w:rsidP="00143229">
      <w:pPr>
        <w:spacing w:after="120"/>
        <w:ind w:firstLine="357"/>
        <w:jc w:val="both"/>
        <w:rPr>
          <w:noProof/>
          <w:szCs w:val="24"/>
          <w:lang w:val="id-ID"/>
        </w:rPr>
      </w:pPr>
      <w:r w:rsidRPr="00143229">
        <w:rPr>
          <w:noProof/>
          <w:szCs w:val="24"/>
          <w:lang w:val="id-ID"/>
        </w:rPr>
        <w:t>Furthermore, the performance of a public institution should not be solely measured by numbers, but rather by the impact felt directly by the people of Bone. Therefore, it is recommended that the Cultural Office of Bone Regency be more communicative and open in listening to responses from cultural leaders, religious leaders, artists, and the public regarding cultural matters and issues in the region. Cultural issues in Bone Regency will never end, and the problems faced tomorrow will be even more intense than today's. Therefore, it is recommended that the Cultural Office always improve the ability and competence of each of its officers, especially in terms of preserving and promoting culture in Bone Regency</w:t>
      </w:r>
      <w:r w:rsidR="00BE7B73" w:rsidRPr="00341019">
        <w:rPr>
          <w:noProof/>
          <w:szCs w:val="24"/>
          <w:lang w:val="id-ID"/>
        </w:rPr>
        <w:t>.</w:t>
      </w:r>
    </w:p>
    <w:p w14:paraId="2E43E5C9" w14:textId="77777777" w:rsidR="00341019" w:rsidRPr="00341019" w:rsidRDefault="00341019" w:rsidP="00341019">
      <w:pPr>
        <w:spacing w:after="120"/>
        <w:ind w:firstLine="357"/>
        <w:jc w:val="both"/>
        <w:rPr>
          <w:noProof/>
          <w:szCs w:val="24"/>
          <w:lang w:val="id-ID"/>
        </w:rPr>
      </w:pPr>
    </w:p>
    <w:p w14:paraId="4184C388" w14:textId="35DFF416" w:rsidR="00D73172" w:rsidRPr="00341019" w:rsidRDefault="00341019" w:rsidP="00EF7622">
      <w:pPr>
        <w:pStyle w:val="Heading1"/>
        <w:suppressAutoHyphens/>
        <w:spacing w:after="60"/>
        <w:rPr>
          <w:i w:val="0"/>
          <w:noProof/>
          <w:sz w:val="24"/>
          <w:szCs w:val="24"/>
        </w:rPr>
      </w:pPr>
      <w:r w:rsidRPr="00341019">
        <w:rPr>
          <w:i w:val="0"/>
          <w:noProof/>
          <w:sz w:val="24"/>
          <w:szCs w:val="24"/>
        </w:rPr>
        <w:t>REFERENCE</w:t>
      </w:r>
    </w:p>
    <w:p w14:paraId="7DDF1E85" w14:textId="541C4828" w:rsidR="007E594D" w:rsidRPr="007E594D" w:rsidRDefault="00341019" w:rsidP="007E594D">
      <w:pPr>
        <w:widowControl w:val="0"/>
        <w:autoSpaceDE w:val="0"/>
        <w:autoSpaceDN w:val="0"/>
        <w:adjustRightInd w:val="0"/>
        <w:ind w:left="480" w:hanging="480"/>
        <w:jc w:val="both"/>
        <w:rPr>
          <w:noProof/>
          <w:szCs w:val="24"/>
        </w:rPr>
      </w:pPr>
      <w:r w:rsidRPr="00341019">
        <w:rPr>
          <w:i/>
          <w:noProof/>
          <w:szCs w:val="24"/>
          <w:lang w:val="id-ID"/>
        </w:rPr>
        <w:fldChar w:fldCharType="begin" w:fldLock="1"/>
      </w:r>
      <w:r w:rsidRPr="00341019">
        <w:rPr>
          <w:i/>
          <w:noProof/>
          <w:szCs w:val="24"/>
          <w:lang w:val="id-ID"/>
        </w:rPr>
        <w:instrText xml:space="preserve">ADDIN Mendeley Bibliography CSL_BIBLIOGRAPHY </w:instrText>
      </w:r>
      <w:r w:rsidRPr="00341019">
        <w:rPr>
          <w:i/>
          <w:noProof/>
          <w:szCs w:val="24"/>
          <w:lang w:val="id-ID"/>
        </w:rPr>
        <w:fldChar w:fldCharType="separate"/>
      </w:r>
      <w:r w:rsidR="007E594D" w:rsidRPr="007E594D">
        <w:rPr>
          <w:noProof/>
          <w:szCs w:val="24"/>
        </w:rPr>
        <w:t xml:space="preserve">Alwasilah, P. A. C. (2006). </w:t>
      </w:r>
      <w:r w:rsidR="007E594D" w:rsidRPr="007E594D">
        <w:rPr>
          <w:i/>
          <w:iCs/>
          <w:noProof/>
          <w:szCs w:val="24"/>
        </w:rPr>
        <w:t>Pokoknya Sunda</w:t>
      </w:r>
      <w:r w:rsidR="007E594D" w:rsidRPr="007E594D">
        <w:rPr>
          <w:noProof/>
          <w:szCs w:val="24"/>
        </w:rPr>
        <w:t>. Karawitan.</w:t>
      </w:r>
    </w:p>
    <w:p w14:paraId="73A2DFC1"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Apdillah, D., Panjaitan, K., Stefanny, N. T. P., &amp; Surbakti, F. A. (2022). The Global Competition in The Digital Society 5.0 Era: The Challenges of The Younger Generation. </w:t>
      </w:r>
      <w:r w:rsidRPr="007E594D">
        <w:rPr>
          <w:i/>
          <w:iCs/>
          <w:noProof/>
          <w:szCs w:val="24"/>
        </w:rPr>
        <w:t>Journal of Humanities, Social Sciences and Business (JHSSB)</w:t>
      </w:r>
      <w:r w:rsidRPr="007E594D">
        <w:rPr>
          <w:noProof/>
          <w:szCs w:val="24"/>
        </w:rPr>
        <w:t xml:space="preserve">, </w:t>
      </w:r>
      <w:r w:rsidRPr="007E594D">
        <w:rPr>
          <w:i/>
          <w:iCs/>
          <w:noProof/>
          <w:szCs w:val="24"/>
        </w:rPr>
        <w:t>1</w:t>
      </w:r>
      <w:r w:rsidRPr="007E594D">
        <w:rPr>
          <w:noProof/>
          <w:szCs w:val="24"/>
        </w:rPr>
        <w:t xml:space="preserve">(3), 75–80. </w:t>
      </w:r>
      <w:r w:rsidRPr="007E594D">
        <w:rPr>
          <w:noProof/>
          <w:szCs w:val="24"/>
        </w:rPr>
        <w:lastRenderedPageBreak/>
        <w:t>https://doi.org/https://doi.org/10.55047/jhssb.v1i3.151</w:t>
      </w:r>
    </w:p>
    <w:p w14:paraId="4A6EF0AA"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David, F. R. (2010). </w:t>
      </w:r>
      <w:r w:rsidRPr="007E594D">
        <w:rPr>
          <w:i/>
          <w:iCs/>
          <w:noProof/>
          <w:szCs w:val="24"/>
        </w:rPr>
        <w:t>Manajemen Strategi Konsep</w:t>
      </w:r>
      <w:r w:rsidRPr="007E594D">
        <w:rPr>
          <w:noProof/>
          <w:szCs w:val="24"/>
        </w:rPr>
        <w:t>. Salemba Empat.</w:t>
      </w:r>
    </w:p>
    <w:p w14:paraId="1D1385D9"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Koentjaraningrat. (2000). </w:t>
      </w:r>
      <w:r w:rsidRPr="007E594D">
        <w:rPr>
          <w:i/>
          <w:iCs/>
          <w:noProof/>
          <w:szCs w:val="24"/>
        </w:rPr>
        <w:t>Kebudayan Mentalitas dan Pembangunan</w:t>
      </w:r>
      <w:r w:rsidRPr="007E594D">
        <w:rPr>
          <w:noProof/>
          <w:szCs w:val="24"/>
        </w:rPr>
        <w:t>. PT. Gramedia Pusaka Utama.</w:t>
      </w:r>
    </w:p>
    <w:p w14:paraId="11029261"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Lestari, F. T., &amp; Suryatimur, K. P. (2023). Implementation of CSR (Corporate Social Responsibility) in Increasing the Image of PT Pertamina. </w:t>
      </w:r>
      <w:r w:rsidRPr="007E594D">
        <w:rPr>
          <w:i/>
          <w:iCs/>
          <w:noProof/>
          <w:szCs w:val="24"/>
        </w:rPr>
        <w:t>Journal of Humanities, Social Sciences and Business (JHSSB)</w:t>
      </w:r>
      <w:r w:rsidRPr="007E594D">
        <w:rPr>
          <w:noProof/>
          <w:szCs w:val="24"/>
        </w:rPr>
        <w:t xml:space="preserve">, </w:t>
      </w:r>
      <w:r w:rsidRPr="007E594D">
        <w:rPr>
          <w:i/>
          <w:iCs/>
          <w:noProof/>
          <w:szCs w:val="24"/>
        </w:rPr>
        <w:t>2</w:t>
      </w:r>
      <w:r w:rsidRPr="007E594D">
        <w:rPr>
          <w:noProof/>
          <w:szCs w:val="24"/>
        </w:rPr>
        <w:t>(2), 543–553.</w:t>
      </w:r>
    </w:p>
    <w:p w14:paraId="2AB63DB9"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Moleong, L. J. (2012). Metodologi penelitian kualitatif. </w:t>
      </w:r>
      <w:r w:rsidRPr="007E594D">
        <w:rPr>
          <w:i/>
          <w:iCs/>
          <w:noProof/>
          <w:szCs w:val="24"/>
        </w:rPr>
        <w:t>Bandung: Remaja Rosdakarya</w:t>
      </w:r>
      <w:r w:rsidRPr="007E594D">
        <w:rPr>
          <w:noProof/>
          <w:szCs w:val="24"/>
        </w:rPr>
        <w:t>.</w:t>
      </w:r>
    </w:p>
    <w:p w14:paraId="2C6ABBAC"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Perlas, C. (2006). </w:t>
      </w:r>
      <w:r w:rsidRPr="007E594D">
        <w:rPr>
          <w:i/>
          <w:iCs/>
          <w:noProof/>
          <w:szCs w:val="24"/>
        </w:rPr>
        <w:t>Manusia Bugis</w:t>
      </w:r>
      <w:r w:rsidRPr="007E594D">
        <w:rPr>
          <w:noProof/>
          <w:szCs w:val="24"/>
        </w:rPr>
        <w:t>. Grafika Mardi Yuana.</w:t>
      </w:r>
    </w:p>
    <w:p w14:paraId="15AE8AAE"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Robinson, P. J. (2002). </w:t>
      </w:r>
      <w:r w:rsidRPr="007E594D">
        <w:rPr>
          <w:i/>
          <w:iCs/>
          <w:noProof/>
          <w:szCs w:val="24"/>
        </w:rPr>
        <w:t>Strategic Management</w:t>
      </w:r>
      <w:r w:rsidRPr="007E594D">
        <w:rPr>
          <w:noProof/>
          <w:szCs w:val="24"/>
        </w:rPr>
        <w:t>. McGraw-Hill.</w:t>
      </w:r>
    </w:p>
    <w:p w14:paraId="640AFCD7"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Santana, S. (2007). </w:t>
      </w:r>
      <w:r w:rsidRPr="007E594D">
        <w:rPr>
          <w:i/>
          <w:iCs/>
          <w:noProof/>
          <w:szCs w:val="24"/>
        </w:rPr>
        <w:t>Menulis Ilmiah Metode Penelitian Kualitatif</w:t>
      </w:r>
      <w:r w:rsidRPr="007E594D">
        <w:rPr>
          <w:noProof/>
          <w:szCs w:val="24"/>
        </w:rPr>
        <w:t>. Yayasan Obor Indonesia.</w:t>
      </w:r>
    </w:p>
    <w:p w14:paraId="1492B6D3"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Sugiyono, P. D. (2007). Metode Penelitian Kuantitatif Kualitatif dan R&amp;D. </w:t>
      </w:r>
      <w:r w:rsidRPr="007E594D">
        <w:rPr>
          <w:i/>
          <w:iCs/>
          <w:noProof/>
          <w:szCs w:val="24"/>
        </w:rPr>
        <w:t>CV. Alfabeta, Bandung</w:t>
      </w:r>
      <w:r w:rsidRPr="007E594D">
        <w:rPr>
          <w:noProof/>
          <w:szCs w:val="24"/>
        </w:rPr>
        <w:t>.</w:t>
      </w:r>
    </w:p>
    <w:p w14:paraId="5B7C73A6"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Sumardjo, J. (2000). </w:t>
      </w:r>
      <w:r w:rsidRPr="007E594D">
        <w:rPr>
          <w:i/>
          <w:iCs/>
          <w:noProof/>
          <w:szCs w:val="24"/>
        </w:rPr>
        <w:t>Filsafat Seni</w:t>
      </w:r>
      <w:r w:rsidRPr="007E594D">
        <w:rPr>
          <w:noProof/>
          <w:szCs w:val="24"/>
        </w:rPr>
        <w:t>. ITB.</w:t>
      </w:r>
    </w:p>
    <w:p w14:paraId="506D8D95" w14:textId="77777777" w:rsidR="007E594D" w:rsidRPr="007E594D" w:rsidRDefault="007E594D" w:rsidP="007E594D">
      <w:pPr>
        <w:widowControl w:val="0"/>
        <w:autoSpaceDE w:val="0"/>
        <w:autoSpaceDN w:val="0"/>
        <w:adjustRightInd w:val="0"/>
        <w:ind w:left="480" w:hanging="480"/>
        <w:jc w:val="both"/>
        <w:rPr>
          <w:noProof/>
          <w:szCs w:val="24"/>
        </w:rPr>
      </w:pPr>
      <w:r w:rsidRPr="007E594D">
        <w:rPr>
          <w:noProof/>
          <w:szCs w:val="24"/>
        </w:rPr>
        <w:t xml:space="preserve">Taylor, E. B. (2001). </w:t>
      </w:r>
      <w:r w:rsidRPr="007E594D">
        <w:rPr>
          <w:i/>
          <w:iCs/>
          <w:noProof/>
          <w:szCs w:val="24"/>
        </w:rPr>
        <w:t>Primitive Culture</w:t>
      </w:r>
      <w:r w:rsidRPr="007E594D">
        <w:rPr>
          <w:noProof/>
          <w:szCs w:val="24"/>
        </w:rPr>
        <w:t>. Jhon Murray.</w:t>
      </w:r>
    </w:p>
    <w:p w14:paraId="15DD64A6" w14:textId="77777777" w:rsidR="007E594D" w:rsidRPr="007E594D" w:rsidRDefault="007E594D" w:rsidP="007E594D">
      <w:pPr>
        <w:widowControl w:val="0"/>
        <w:autoSpaceDE w:val="0"/>
        <w:autoSpaceDN w:val="0"/>
        <w:adjustRightInd w:val="0"/>
        <w:ind w:left="480" w:hanging="480"/>
        <w:jc w:val="both"/>
        <w:rPr>
          <w:noProof/>
        </w:rPr>
      </w:pPr>
      <w:r w:rsidRPr="007E594D">
        <w:rPr>
          <w:noProof/>
          <w:szCs w:val="24"/>
        </w:rPr>
        <w:t xml:space="preserve">Wijaya, A. W. (2006). </w:t>
      </w:r>
      <w:r w:rsidRPr="007E594D">
        <w:rPr>
          <w:i/>
          <w:iCs/>
          <w:noProof/>
          <w:szCs w:val="24"/>
        </w:rPr>
        <w:t>Individu, Keluarga dan Masyarakat</w:t>
      </w:r>
      <w:r w:rsidRPr="007E594D">
        <w:rPr>
          <w:noProof/>
          <w:szCs w:val="24"/>
        </w:rPr>
        <w:t>. Akademika Persindo.</w:t>
      </w:r>
    </w:p>
    <w:p w14:paraId="587A9CE9" w14:textId="0C50DC5A" w:rsidR="00FB47D1" w:rsidRPr="00341019" w:rsidRDefault="00341019" w:rsidP="007E594D">
      <w:pPr>
        <w:pStyle w:val="Heading1"/>
        <w:suppressAutoHyphens/>
        <w:ind w:left="567" w:hanging="567"/>
        <w:jc w:val="both"/>
        <w:rPr>
          <w:i w:val="0"/>
          <w:noProof/>
          <w:sz w:val="22"/>
          <w:szCs w:val="22"/>
          <w:lang w:val="id-ID"/>
        </w:rPr>
        <w:sectPr w:rsidR="00FB47D1" w:rsidRPr="00341019" w:rsidSect="00EF7622">
          <w:headerReference w:type="default" r:id="rId13"/>
          <w:footerReference w:type="default" r:id="rId14"/>
          <w:type w:val="continuous"/>
          <w:pgSz w:w="11909" w:h="16834" w:code="9"/>
          <w:pgMar w:top="1701" w:right="1134" w:bottom="1701" w:left="1418" w:header="1060" w:footer="1242" w:gutter="0"/>
          <w:cols w:space="454"/>
          <w:docGrid w:linePitch="360"/>
        </w:sectPr>
      </w:pPr>
      <w:r w:rsidRPr="00341019">
        <w:rPr>
          <w:i w:val="0"/>
          <w:noProof/>
          <w:sz w:val="24"/>
          <w:szCs w:val="24"/>
          <w:lang w:val="id-ID"/>
        </w:rPr>
        <w:fldChar w:fldCharType="end"/>
      </w:r>
    </w:p>
    <w:p w14:paraId="42462B28" w14:textId="77777777" w:rsidR="00482F53" w:rsidRPr="00341019" w:rsidRDefault="00482F53" w:rsidP="00201E36">
      <w:pPr>
        <w:spacing w:after="120"/>
        <w:jc w:val="both"/>
        <w:rPr>
          <w:noProof/>
          <w:sz w:val="22"/>
          <w:szCs w:val="22"/>
          <w:lang w:val="id-ID"/>
        </w:rPr>
      </w:pPr>
    </w:p>
    <w:sectPr w:rsidR="00482F53" w:rsidRPr="00341019"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762A" w14:textId="77777777" w:rsidR="000D54A3" w:rsidRDefault="000D54A3">
      <w:r>
        <w:separator/>
      </w:r>
    </w:p>
  </w:endnote>
  <w:endnote w:type="continuationSeparator" w:id="0">
    <w:p w14:paraId="6FA2200C" w14:textId="77777777" w:rsidR="000D54A3" w:rsidRDefault="000D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7F56A91F"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3AA3054B" w14:textId="77777777" w:rsidR="002A01C2" w:rsidRDefault="00000000"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64CC" w14:textId="77777777" w:rsidR="000D54A3" w:rsidRDefault="000D54A3">
      <w:r>
        <w:separator/>
      </w:r>
    </w:p>
  </w:footnote>
  <w:footnote w:type="continuationSeparator" w:id="0">
    <w:p w14:paraId="2290C75C" w14:textId="77777777" w:rsidR="000D54A3" w:rsidRDefault="000D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DFF8"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B424A8"/>
    <w:multiLevelType w:val="hybridMultilevel"/>
    <w:tmpl w:val="28F6DCEC"/>
    <w:lvl w:ilvl="0" w:tplc="E99CB99C">
      <w:start w:val="1"/>
      <w:numFmt w:val="decimal"/>
      <w:lvlText w:val="(%1)"/>
      <w:lvlJc w:val="left"/>
      <w:pPr>
        <w:ind w:left="1353" w:hanging="360"/>
      </w:pPr>
      <w:rPr>
        <w:rFonts w:ascii="Times New Roman" w:hAnsi="Times New Roman" w:cs="Times New Roman" w:hint="default"/>
      </w:rPr>
    </w:lvl>
    <w:lvl w:ilvl="1" w:tplc="0B5E5AA6" w:tentative="1">
      <w:start w:val="1"/>
      <w:numFmt w:val="lowerLetter"/>
      <w:lvlText w:val="%2."/>
      <w:lvlJc w:val="left"/>
      <w:pPr>
        <w:ind w:left="1713" w:hanging="360"/>
      </w:pPr>
    </w:lvl>
    <w:lvl w:ilvl="2" w:tplc="E834AF76" w:tentative="1">
      <w:start w:val="1"/>
      <w:numFmt w:val="lowerRoman"/>
      <w:lvlText w:val="%3."/>
      <w:lvlJc w:val="right"/>
      <w:pPr>
        <w:ind w:left="2433" w:hanging="180"/>
      </w:pPr>
    </w:lvl>
    <w:lvl w:ilvl="3" w:tplc="C534D2E0" w:tentative="1">
      <w:start w:val="1"/>
      <w:numFmt w:val="decimal"/>
      <w:lvlText w:val="%4."/>
      <w:lvlJc w:val="left"/>
      <w:pPr>
        <w:ind w:left="3153" w:hanging="360"/>
      </w:pPr>
    </w:lvl>
    <w:lvl w:ilvl="4" w:tplc="6E925A0C" w:tentative="1">
      <w:start w:val="1"/>
      <w:numFmt w:val="lowerLetter"/>
      <w:lvlText w:val="%5."/>
      <w:lvlJc w:val="left"/>
      <w:pPr>
        <w:ind w:left="3873" w:hanging="360"/>
      </w:pPr>
    </w:lvl>
    <w:lvl w:ilvl="5" w:tplc="FB3AAB9C" w:tentative="1">
      <w:start w:val="1"/>
      <w:numFmt w:val="lowerRoman"/>
      <w:lvlText w:val="%6."/>
      <w:lvlJc w:val="right"/>
      <w:pPr>
        <w:ind w:left="4593" w:hanging="180"/>
      </w:pPr>
    </w:lvl>
    <w:lvl w:ilvl="6" w:tplc="FD8A42FE" w:tentative="1">
      <w:start w:val="1"/>
      <w:numFmt w:val="decimal"/>
      <w:lvlText w:val="%7."/>
      <w:lvlJc w:val="left"/>
      <w:pPr>
        <w:ind w:left="5313" w:hanging="360"/>
      </w:pPr>
    </w:lvl>
    <w:lvl w:ilvl="7" w:tplc="647EB86E" w:tentative="1">
      <w:start w:val="1"/>
      <w:numFmt w:val="lowerLetter"/>
      <w:lvlText w:val="%8."/>
      <w:lvlJc w:val="left"/>
      <w:pPr>
        <w:ind w:left="6033" w:hanging="360"/>
      </w:pPr>
    </w:lvl>
    <w:lvl w:ilvl="8" w:tplc="CC5EB284" w:tentative="1">
      <w:start w:val="1"/>
      <w:numFmt w:val="lowerRoman"/>
      <w:lvlText w:val="%9."/>
      <w:lvlJc w:val="right"/>
      <w:pPr>
        <w:ind w:left="6753"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274FA"/>
    <w:multiLevelType w:val="hybridMultilevel"/>
    <w:tmpl w:val="12F48F08"/>
    <w:lvl w:ilvl="0" w:tplc="B0C2B3B2">
      <w:start w:val="1"/>
      <w:numFmt w:val="decimal"/>
      <w:lvlText w:val="(%1)"/>
      <w:lvlJc w:val="left"/>
      <w:pPr>
        <w:ind w:left="1353" w:hanging="360"/>
      </w:pPr>
      <w:rPr>
        <w:rFonts w:hint="default"/>
        <w:b w:val="0"/>
        <w:bCs/>
        <w:color w:val="000000" w:themeColor="text1"/>
        <w:sz w:val="24"/>
        <w:szCs w:val="24"/>
      </w:rPr>
    </w:lvl>
    <w:lvl w:ilvl="1" w:tplc="4EB29934" w:tentative="1">
      <w:start w:val="1"/>
      <w:numFmt w:val="lowerLetter"/>
      <w:lvlText w:val="%2."/>
      <w:lvlJc w:val="left"/>
      <w:pPr>
        <w:ind w:left="2073" w:hanging="360"/>
      </w:pPr>
    </w:lvl>
    <w:lvl w:ilvl="2" w:tplc="FA7AB378" w:tentative="1">
      <w:start w:val="1"/>
      <w:numFmt w:val="lowerRoman"/>
      <w:lvlText w:val="%3."/>
      <w:lvlJc w:val="right"/>
      <w:pPr>
        <w:ind w:left="2793" w:hanging="180"/>
      </w:pPr>
    </w:lvl>
    <w:lvl w:ilvl="3" w:tplc="A2C876AA" w:tentative="1">
      <w:start w:val="1"/>
      <w:numFmt w:val="decimal"/>
      <w:lvlText w:val="%4."/>
      <w:lvlJc w:val="left"/>
      <w:pPr>
        <w:ind w:left="3513" w:hanging="360"/>
      </w:pPr>
    </w:lvl>
    <w:lvl w:ilvl="4" w:tplc="F56CBB2E" w:tentative="1">
      <w:start w:val="1"/>
      <w:numFmt w:val="lowerLetter"/>
      <w:lvlText w:val="%5."/>
      <w:lvlJc w:val="left"/>
      <w:pPr>
        <w:ind w:left="4233" w:hanging="360"/>
      </w:pPr>
    </w:lvl>
    <w:lvl w:ilvl="5" w:tplc="62D2A2A2" w:tentative="1">
      <w:start w:val="1"/>
      <w:numFmt w:val="lowerRoman"/>
      <w:lvlText w:val="%6."/>
      <w:lvlJc w:val="right"/>
      <w:pPr>
        <w:ind w:left="4953" w:hanging="180"/>
      </w:pPr>
    </w:lvl>
    <w:lvl w:ilvl="6" w:tplc="BC1280AE" w:tentative="1">
      <w:start w:val="1"/>
      <w:numFmt w:val="decimal"/>
      <w:lvlText w:val="%7."/>
      <w:lvlJc w:val="left"/>
      <w:pPr>
        <w:ind w:left="5673" w:hanging="360"/>
      </w:pPr>
    </w:lvl>
    <w:lvl w:ilvl="7" w:tplc="1D4EBB12" w:tentative="1">
      <w:start w:val="1"/>
      <w:numFmt w:val="lowerLetter"/>
      <w:lvlText w:val="%8."/>
      <w:lvlJc w:val="left"/>
      <w:pPr>
        <w:ind w:left="6393" w:hanging="360"/>
      </w:pPr>
    </w:lvl>
    <w:lvl w:ilvl="8" w:tplc="3672FC44" w:tentative="1">
      <w:start w:val="1"/>
      <w:numFmt w:val="lowerRoman"/>
      <w:lvlText w:val="%9."/>
      <w:lvlJc w:val="right"/>
      <w:pPr>
        <w:ind w:left="7113" w:hanging="180"/>
      </w:pPr>
    </w:lvl>
  </w:abstractNum>
  <w:abstractNum w:abstractNumId="5" w15:restartNumberingAfterBreak="0">
    <w:nsid w:val="31D039C2"/>
    <w:multiLevelType w:val="hybridMultilevel"/>
    <w:tmpl w:val="8BACC634"/>
    <w:lvl w:ilvl="0" w:tplc="61CE7C0A">
      <w:start w:val="1"/>
      <w:numFmt w:val="lowerLetter"/>
      <w:lvlText w:val="%1."/>
      <w:lvlJc w:val="left"/>
      <w:pPr>
        <w:ind w:left="786" w:hanging="360"/>
      </w:pPr>
      <w:rPr>
        <w:rFonts w:hint="default"/>
        <w:b/>
        <w:i w:val="0"/>
        <w:iCs/>
      </w:rPr>
    </w:lvl>
    <w:lvl w:ilvl="1" w:tplc="48EAA470" w:tentative="1">
      <w:start w:val="1"/>
      <w:numFmt w:val="lowerLetter"/>
      <w:lvlText w:val="%2."/>
      <w:lvlJc w:val="left"/>
      <w:pPr>
        <w:ind w:left="1506" w:hanging="360"/>
      </w:pPr>
    </w:lvl>
    <w:lvl w:ilvl="2" w:tplc="F7C285CC" w:tentative="1">
      <w:start w:val="1"/>
      <w:numFmt w:val="lowerRoman"/>
      <w:lvlText w:val="%3."/>
      <w:lvlJc w:val="right"/>
      <w:pPr>
        <w:ind w:left="2226" w:hanging="180"/>
      </w:pPr>
    </w:lvl>
    <w:lvl w:ilvl="3" w:tplc="43069C22" w:tentative="1">
      <w:start w:val="1"/>
      <w:numFmt w:val="decimal"/>
      <w:lvlText w:val="%4."/>
      <w:lvlJc w:val="left"/>
      <w:pPr>
        <w:ind w:left="2946" w:hanging="360"/>
      </w:pPr>
    </w:lvl>
    <w:lvl w:ilvl="4" w:tplc="67269148" w:tentative="1">
      <w:start w:val="1"/>
      <w:numFmt w:val="lowerLetter"/>
      <w:lvlText w:val="%5."/>
      <w:lvlJc w:val="left"/>
      <w:pPr>
        <w:ind w:left="3666" w:hanging="360"/>
      </w:pPr>
    </w:lvl>
    <w:lvl w:ilvl="5" w:tplc="1B7CB9B8" w:tentative="1">
      <w:start w:val="1"/>
      <w:numFmt w:val="lowerRoman"/>
      <w:lvlText w:val="%6."/>
      <w:lvlJc w:val="right"/>
      <w:pPr>
        <w:ind w:left="4386" w:hanging="180"/>
      </w:pPr>
    </w:lvl>
    <w:lvl w:ilvl="6" w:tplc="77845FDE" w:tentative="1">
      <w:start w:val="1"/>
      <w:numFmt w:val="decimal"/>
      <w:lvlText w:val="%7."/>
      <w:lvlJc w:val="left"/>
      <w:pPr>
        <w:ind w:left="5106" w:hanging="360"/>
      </w:pPr>
    </w:lvl>
    <w:lvl w:ilvl="7" w:tplc="4C805E50" w:tentative="1">
      <w:start w:val="1"/>
      <w:numFmt w:val="lowerLetter"/>
      <w:lvlText w:val="%8."/>
      <w:lvlJc w:val="left"/>
      <w:pPr>
        <w:ind w:left="5826" w:hanging="360"/>
      </w:pPr>
    </w:lvl>
    <w:lvl w:ilvl="8" w:tplc="908CC828" w:tentative="1">
      <w:start w:val="1"/>
      <w:numFmt w:val="lowerRoman"/>
      <w:lvlText w:val="%9."/>
      <w:lvlJc w:val="right"/>
      <w:pPr>
        <w:ind w:left="6546" w:hanging="180"/>
      </w:pPr>
    </w:lvl>
  </w:abstractNum>
  <w:abstractNum w:abstractNumId="6" w15:restartNumberingAfterBreak="0">
    <w:nsid w:val="388A3F7A"/>
    <w:multiLevelType w:val="hybridMultilevel"/>
    <w:tmpl w:val="93F6DE30"/>
    <w:lvl w:ilvl="0" w:tplc="8F6C855A">
      <w:start w:val="1"/>
      <w:numFmt w:val="lowerLetter"/>
      <w:lvlText w:val="%1."/>
      <w:lvlJc w:val="left"/>
      <w:pPr>
        <w:ind w:left="1069" w:hanging="360"/>
      </w:pPr>
      <w:rPr>
        <w:rFonts w:hint="default"/>
        <w:b/>
        <w:bCs w:val="0"/>
      </w:rPr>
    </w:lvl>
    <w:lvl w:ilvl="1" w:tplc="D12058BE" w:tentative="1">
      <w:start w:val="1"/>
      <w:numFmt w:val="lowerLetter"/>
      <w:lvlText w:val="%2."/>
      <w:lvlJc w:val="left"/>
      <w:pPr>
        <w:ind w:left="1789" w:hanging="360"/>
      </w:pPr>
    </w:lvl>
    <w:lvl w:ilvl="2" w:tplc="D7C2B13C" w:tentative="1">
      <w:start w:val="1"/>
      <w:numFmt w:val="lowerRoman"/>
      <w:lvlText w:val="%3."/>
      <w:lvlJc w:val="right"/>
      <w:pPr>
        <w:ind w:left="2509" w:hanging="180"/>
      </w:pPr>
    </w:lvl>
    <w:lvl w:ilvl="3" w:tplc="EDD49BD6" w:tentative="1">
      <w:start w:val="1"/>
      <w:numFmt w:val="decimal"/>
      <w:lvlText w:val="%4."/>
      <w:lvlJc w:val="left"/>
      <w:pPr>
        <w:ind w:left="3229" w:hanging="360"/>
      </w:pPr>
    </w:lvl>
    <w:lvl w:ilvl="4" w:tplc="0A769232" w:tentative="1">
      <w:start w:val="1"/>
      <w:numFmt w:val="lowerLetter"/>
      <w:lvlText w:val="%5."/>
      <w:lvlJc w:val="left"/>
      <w:pPr>
        <w:ind w:left="3949" w:hanging="360"/>
      </w:pPr>
    </w:lvl>
    <w:lvl w:ilvl="5" w:tplc="ECB8E00A" w:tentative="1">
      <w:start w:val="1"/>
      <w:numFmt w:val="lowerRoman"/>
      <w:lvlText w:val="%6."/>
      <w:lvlJc w:val="right"/>
      <w:pPr>
        <w:ind w:left="4669" w:hanging="180"/>
      </w:pPr>
    </w:lvl>
    <w:lvl w:ilvl="6" w:tplc="9F784406" w:tentative="1">
      <w:start w:val="1"/>
      <w:numFmt w:val="decimal"/>
      <w:lvlText w:val="%7."/>
      <w:lvlJc w:val="left"/>
      <w:pPr>
        <w:ind w:left="5389" w:hanging="360"/>
      </w:pPr>
    </w:lvl>
    <w:lvl w:ilvl="7" w:tplc="E5D841F2" w:tentative="1">
      <w:start w:val="1"/>
      <w:numFmt w:val="lowerLetter"/>
      <w:lvlText w:val="%8."/>
      <w:lvlJc w:val="left"/>
      <w:pPr>
        <w:ind w:left="6109" w:hanging="360"/>
      </w:pPr>
    </w:lvl>
    <w:lvl w:ilvl="8" w:tplc="5F584092" w:tentative="1">
      <w:start w:val="1"/>
      <w:numFmt w:val="lowerRoman"/>
      <w:lvlText w:val="%9."/>
      <w:lvlJc w:val="right"/>
      <w:pPr>
        <w:ind w:left="6829"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444233247">
    <w:abstractNumId w:val="0"/>
  </w:num>
  <w:num w:numId="2" w16cid:durableId="438648200">
    <w:abstractNumId w:val="7"/>
  </w:num>
  <w:num w:numId="3" w16cid:durableId="1006128478">
    <w:abstractNumId w:val="1"/>
  </w:num>
  <w:num w:numId="4" w16cid:durableId="1710110496">
    <w:abstractNumId w:val="3"/>
  </w:num>
  <w:num w:numId="5" w16cid:durableId="355539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485321">
    <w:abstractNumId w:val="9"/>
  </w:num>
  <w:num w:numId="7" w16cid:durableId="1893226708">
    <w:abstractNumId w:val="8"/>
  </w:num>
  <w:num w:numId="8" w16cid:durableId="683165735">
    <w:abstractNumId w:val="2"/>
  </w:num>
  <w:num w:numId="9" w16cid:durableId="988679321">
    <w:abstractNumId w:val="4"/>
  </w:num>
  <w:num w:numId="10" w16cid:durableId="3899317">
    <w:abstractNumId w:val="6"/>
  </w:num>
  <w:num w:numId="11" w16cid:durableId="905602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6547"/>
    <w:rsid w:val="00010C81"/>
    <w:rsid w:val="00017BCC"/>
    <w:rsid w:val="000221FD"/>
    <w:rsid w:val="00032073"/>
    <w:rsid w:val="000541B9"/>
    <w:rsid w:val="000D54A3"/>
    <w:rsid w:val="000E018D"/>
    <w:rsid w:val="00136193"/>
    <w:rsid w:val="001419FC"/>
    <w:rsid w:val="00143229"/>
    <w:rsid w:val="00176216"/>
    <w:rsid w:val="001B277F"/>
    <w:rsid w:val="001D0642"/>
    <w:rsid w:val="002006E1"/>
    <w:rsid w:val="00201B74"/>
    <w:rsid w:val="00201E36"/>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1019"/>
    <w:rsid w:val="003451AD"/>
    <w:rsid w:val="00376D1D"/>
    <w:rsid w:val="004013F0"/>
    <w:rsid w:val="004064D7"/>
    <w:rsid w:val="00454384"/>
    <w:rsid w:val="00467D33"/>
    <w:rsid w:val="00482F53"/>
    <w:rsid w:val="004A6B49"/>
    <w:rsid w:val="004B4F54"/>
    <w:rsid w:val="004B7062"/>
    <w:rsid w:val="004B7814"/>
    <w:rsid w:val="004C5327"/>
    <w:rsid w:val="004D3E10"/>
    <w:rsid w:val="00520EE5"/>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924A0"/>
    <w:rsid w:val="006B64C7"/>
    <w:rsid w:val="00711C4D"/>
    <w:rsid w:val="00713F5B"/>
    <w:rsid w:val="007349A7"/>
    <w:rsid w:val="007432C2"/>
    <w:rsid w:val="00747BF8"/>
    <w:rsid w:val="007A0CBD"/>
    <w:rsid w:val="007A7B14"/>
    <w:rsid w:val="007D1129"/>
    <w:rsid w:val="007E594D"/>
    <w:rsid w:val="007F3CF3"/>
    <w:rsid w:val="007F65FD"/>
    <w:rsid w:val="0080184F"/>
    <w:rsid w:val="0084586B"/>
    <w:rsid w:val="00876F86"/>
    <w:rsid w:val="008964A4"/>
    <w:rsid w:val="008A6B15"/>
    <w:rsid w:val="008B6850"/>
    <w:rsid w:val="009243FC"/>
    <w:rsid w:val="009316D9"/>
    <w:rsid w:val="009331BC"/>
    <w:rsid w:val="0099047D"/>
    <w:rsid w:val="00992B6D"/>
    <w:rsid w:val="009C4955"/>
    <w:rsid w:val="009D4C59"/>
    <w:rsid w:val="009E2DCA"/>
    <w:rsid w:val="009F3609"/>
    <w:rsid w:val="00A03ECE"/>
    <w:rsid w:val="00A20E4F"/>
    <w:rsid w:val="00A36D71"/>
    <w:rsid w:val="00A56E67"/>
    <w:rsid w:val="00A629A8"/>
    <w:rsid w:val="00A63CA4"/>
    <w:rsid w:val="00A72B34"/>
    <w:rsid w:val="00AD6B26"/>
    <w:rsid w:val="00AE435A"/>
    <w:rsid w:val="00B178C0"/>
    <w:rsid w:val="00B25669"/>
    <w:rsid w:val="00B43A0E"/>
    <w:rsid w:val="00B56E6F"/>
    <w:rsid w:val="00B67117"/>
    <w:rsid w:val="00B72EDC"/>
    <w:rsid w:val="00BC782F"/>
    <w:rsid w:val="00BD4300"/>
    <w:rsid w:val="00BE5E04"/>
    <w:rsid w:val="00BE7B73"/>
    <w:rsid w:val="00C32EAA"/>
    <w:rsid w:val="00C35CDC"/>
    <w:rsid w:val="00CA633C"/>
    <w:rsid w:val="00CC28B0"/>
    <w:rsid w:val="00D10915"/>
    <w:rsid w:val="00D20EAA"/>
    <w:rsid w:val="00D500E1"/>
    <w:rsid w:val="00D54AC6"/>
    <w:rsid w:val="00D73172"/>
    <w:rsid w:val="00D742C0"/>
    <w:rsid w:val="00D80A49"/>
    <w:rsid w:val="00DB5735"/>
    <w:rsid w:val="00DD48A1"/>
    <w:rsid w:val="00DE4AF3"/>
    <w:rsid w:val="00DF061D"/>
    <w:rsid w:val="00E02BE2"/>
    <w:rsid w:val="00E226DA"/>
    <w:rsid w:val="00E501F4"/>
    <w:rsid w:val="00E64FE0"/>
    <w:rsid w:val="00E81402"/>
    <w:rsid w:val="00E947CE"/>
    <w:rsid w:val="00E96D91"/>
    <w:rsid w:val="00EB06C7"/>
    <w:rsid w:val="00EF7397"/>
    <w:rsid w:val="00EF7622"/>
    <w:rsid w:val="00F007C5"/>
    <w:rsid w:val="00F0081E"/>
    <w:rsid w:val="00F01E62"/>
    <w:rsid w:val="00F22146"/>
    <w:rsid w:val="00F41C66"/>
    <w:rsid w:val="00F51B6E"/>
    <w:rsid w:val="00F54EC7"/>
    <w:rsid w:val="00F7073A"/>
    <w:rsid w:val="00F931F6"/>
    <w:rsid w:val="00FA2FBB"/>
    <w:rsid w:val="00FB33E1"/>
    <w:rsid w:val="00FB47D1"/>
    <w:rsid w:val="00FC54E7"/>
    <w:rsid w:val="00FD15C4"/>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4ECC"/>
  <w15:docId w15:val="{FE060F43-CE61-4CF5-ACE5-EC5FFC9E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341019"/>
    <w:rPr>
      <w:color w:val="605E5C"/>
      <w:shd w:val="clear" w:color="auto" w:fill="E1DFDD"/>
    </w:rPr>
  </w:style>
  <w:style w:type="character" w:styleId="Strong">
    <w:name w:val="Strong"/>
    <w:basedOn w:val="DefaultParagraphFont"/>
    <w:uiPriority w:val="22"/>
    <w:qFormat/>
    <w:rsid w:val="00341019"/>
    <w:rPr>
      <w:b/>
      <w:bCs/>
    </w:rPr>
  </w:style>
  <w:style w:type="paragraph" w:styleId="Caption">
    <w:name w:val="caption"/>
    <w:basedOn w:val="Normal"/>
    <w:next w:val="Normal"/>
    <w:uiPriority w:val="35"/>
    <w:unhideWhenUsed/>
    <w:qFormat/>
    <w:rsid w:val="00341019"/>
    <w:pPr>
      <w:spacing w:after="200"/>
    </w:pPr>
    <w:rPr>
      <w:rFonts w:ascii="Arial" w:eastAsiaTheme="minorHAnsi" w:hAnsi="Arial" w:cstheme="minorBidi"/>
      <w:b/>
      <w:iCs/>
      <w:szCs w:val="18"/>
      <w:lang w:val="id-ID"/>
    </w:rPr>
  </w:style>
  <w:style w:type="paragraph" w:styleId="FootnoteText">
    <w:name w:val="footnote text"/>
    <w:basedOn w:val="Normal"/>
    <w:link w:val="FootnoteTextChar"/>
    <w:uiPriority w:val="99"/>
    <w:semiHidden/>
    <w:unhideWhenUsed/>
    <w:rsid w:val="00341019"/>
    <w:rPr>
      <w:sz w:val="20"/>
    </w:rPr>
  </w:style>
  <w:style w:type="character" w:customStyle="1" w:styleId="FootnoteTextChar">
    <w:name w:val="Footnote Text Char"/>
    <w:basedOn w:val="DefaultParagraphFont"/>
    <w:link w:val="FootnoteText"/>
    <w:uiPriority w:val="99"/>
    <w:semiHidden/>
    <w:rsid w:val="00341019"/>
    <w:rPr>
      <w:rFonts w:eastAsia="Times New Roman"/>
      <w:sz w:val="20"/>
      <w:szCs w:val="20"/>
    </w:rPr>
  </w:style>
  <w:style w:type="character" w:styleId="FootnoteReference">
    <w:name w:val="footnote reference"/>
    <w:basedOn w:val="DefaultParagraphFont"/>
    <w:uiPriority w:val="99"/>
    <w:semiHidden/>
    <w:unhideWhenUsed/>
    <w:rsid w:val="00341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nawatialimuddin@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jengindrawat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asdar568@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maw0213@gmail.com" TargetMode="External"/><Relationship Id="rId4" Type="http://schemas.openxmlformats.org/officeDocument/2006/relationships/settings" Target="settings.xml"/><Relationship Id="rId9" Type="http://schemas.openxmlformats.org/officeDocument/2006/relationships/hyperlink" Target="mailto:megaedarwati2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Pro06</b:Tag>
    <b:SourceType>Book</b:SourceType>
    <b:Guid>{FD713B4E-2FBC-4983-9572-9E905FB675D0}</b:Guid>
    <b:Author>
      <b:Author>
        <b:NameList>
          <b:Person>
            <b:Last>Alwasilah</b:Last>
            <b:First>Prof.</b:First>
            <b:Middle>A. Chaedar</b:Middle>
          </b:Person>
        </b:NameList>
      </b:Author>
    </b:Author>
    <b:Title>Pokoknya Sunda</b:Title>
    <b:Year>2006:56</b:Year>
    <b:City>Bandung</b:City>
    <b:Publisher>Karawitan</b:Publisher>
    <b:RefOrder>18</b:RefOrder>
  </b:Source>
</b:Sources>
</file>

<file path=customXml/itemProps1.xml><?xml version="1.0" encoding="utf-8"?>
<ds:datastoreItem xmlns:ds="http://schemas.openxmlformats.org/officeDocument/2006/customXml" ds:itemID="{1B14F86C-112A-4583-BF40-66A294C1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7047</Words>
  <Characters>40174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T2</cp:lastModifiedBy>
  <cp:revision>10</cp:revision>
  <cp:lastPrinted>2023-04-27T02:36:00Z</cp:lastPrinted>
  <dcterms:created xsi:type="dcterms:W3CDTF">2023-04-26T09:38:00Z</dcterms:created>
  <dcterms:modified xsi:type="dcterms:W3CDTF">2023-04-27T02:45:00Z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http://www.zotero.org/styles/american-medical-association-brackets</vt:lpwstr>
  </property>
  <property fmtid="{D5CDD505-2E9C-101B-9397-08002B2CF9AE}" pid="5" name="Mendeley Recent Style Name 1_1">
    <vt:lpwstr>American Medical Association 11th edition (brackets)</vt:lpwstr>
  </property>
  <property fmtid="{D5CDD505-2E9C-101B-9397-08002B2CF9AE}" pid="6" name="Mendeley Recent Style Id 2_1">
    <vt:lpwstr>http://www.zotero.org/styles/american-medical-association-parentheses</vt:lpwstr>
  </property>
  <property fmtid="{D5CDD505-2E9C-101B-9397-08002B2CF9AE}" pid="7" name="Mendeley Recent Style Name 2_1">
    <vt:lpwstr>American Medical Association 11th edition (parentheses)</vt:lpwstr>
  </property>
  <property fmtid="{D5CDD505-2E9C-101B-9397-08002B2CF9AE}" pid="8" name="Mendeley Recent Style Id 3_1">
    <vt:lpwstr>http://www.zotero.org/styles/apa-6th-edition</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http://www.zotero.org/styles/apa</vt:lpwstr>
  </property>
  <property fmtid="{D5CDD505-2E9C-101B-9397-08002B2CF9AE}" pid="11" name="Mendeley Recent Style Name 4_1">
    <vt:lpwstr>American Psychological Association 7th edition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http://www.zotero.org/styles/modern-language-association-8th-edition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f3742418-1d1a-37a0-830d-7175cf39699d</vt:lpwstr>
  </property>
  <property fmtid="{D5CDD505-2E9C-101B-9397-08002B2CF9AE}" pid="24" name="Mendeley Citation Style_1">
    <vt:lpwstr>http://www.zotero.org/styles/apa</vt:lpwstr>
  </property>
</Properties>
</file>